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F3BF00" w14:textId="266FEF46" w:rsidR="002018FD" w:rsidRDefault="005227AC" w:rsidP="002018FD">
      <w:pPr>
        <w:pStyle w:val="Heading1"/>
      </w:pPr>
      <w:r>
        <w:t>S</w:t>
      </w:r>
      <w:r w:rsidR="002018FD">
        <w:t>1 Supplementary figures</w:t>
      </w:r>
    </w:p>
    <w:p w14:paraId="17098552" w14:textId="7687EA06" w:rsidR="00430F12" w:rsidRDefault="00430F12" w:rsidP="00430F12">
      <w:pPr>
        <w:jc w:val="center"/>
      </w:pPr>
      <w:r>
        <w:rPr>
          <w:noProof/>
        </w:rPr>
        <w:drawing>
          <wp:inline distT="0" distB="0" distL="0" distR="0" wp14:anchorId="5729EEF9" wp14:editId="2B111207">
            <wp:extent cx="3904976" cy="3918462"/>
            <wp:effectExtent l="0" t="0" r="63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cstate="print">
                      <a:extLst>
                        <a:ext uri="{28A0092B-C50C-407E-A947-70E740481C1C}">
                          <a14:useLocalDpi xmlns:a14="http://schemas.microsoft.com/office/drawing/2010/main" val="0"/>
                        </a:ext>
                      </a:extLst>
                    </a:blip>
                    <a:stretch>
                      <a:fillRect/>
                    </a:stretch>
                  </pic:blipFill>
                  <pic:spPr>
                    <a:xfrm>
                      <a:off x="0" y="0"/>
                      <a:ext cx="3904976" cy="3918462"/>
                    </a:xfrm>
                    <a:prstGeom prst="rect">
                      <a:avLst/>
                    </a:prstGeom>
                  </pic:spPr>
                </pic:pic>
              </a:graphicData>
            </a:graphic>
          </wp:inline>
        </w:drawing>
      </w:r>
    </w:p>
    <w:p w14:paraId="774E80C1" w14:textId="0FF80B61" w:rsidR="00430F12" w:rsidRPr="005227AC" w:rsidRDefault="00430F12" w:rsidP="00430F12">
      <w:pPr>
        <w:pStyle w:val="Caption"/>
      </w:pPr>
      <w:bookmarkStart w:id="0" w:name="_Hlk174362633"/>
      <w:r w:rsidRPr="005227AC">
        <w:t>Figure S</w:t>
      </w:r>
      <w:r w:rsidR="000A0336" w:rsidRPr="005227AC">
        <w:fldChar w:fldCharType="begin"/>
      </w:r>
      <w:r w:rsidR="000A0336" w:rsidRPr="005227AC">
        <w:instrText xml:space="preserve"> SEQ Figure \* ARABIC </w:instrText>
      </w:r>
      <w:r w:rsidR="000A0336" w:rsidRPr="005227AC">
        <w:fldChar w:fldCharType="separate"/>
      </w:r>
      <w:r w:rsidRPr="005227AC">
        <w:rPr>
          <w:noProof/>
        </w:rPr>
        <w:t>1</w:t>
      </w:r>
      <w:r w:rsidR="000A0336" w:rsidRPr="005227AC">
        <w:rPr>
          <w:noProof/>
        </w:rPr>
        <w:fldChar w:fldCharType="end"/>
      </w:r>
      <w:r w:rsidR="005227AC" w:rsidRPr="005227AC">
        <w:t>.</w:t>
      </w:r>
      <w:r w:rsidRPr="005227AC">
        <w:t xml:space="preserve"> </w:t>
      </w:r>
      <w:r w:rsidRPr="005227AC">
        <w:rPr>
          <w:b w:val="0"/>
          <w:bCs w:val="0"/>
        </w:rPr>
        <w:t xml:space="preserve">Soil fraction 2-20 μm and distance in south-eastern direction of individual samples </w:t>
      </w:r>
      <w:r w:rsidR="00531E55" w:rsidRPr="005227AC">
        <w:rPr>
          <w:b w:val="0"/>
          <w:bCs w:val="0"/>
        </w:rPr>
        <w:t xml:space="preserve">(pooled samples excluded). The grain size data has been measured by </w:t>
      </w:r>
      <w:r w:rsidR="00531E55" w:rsidRPr="005227AC">
        <w:rPr>
          <w:b w:val="0"/>
          <w:bCs w:val="0"/>
        </w:rPr>
        <w:fldChar w:fldCharType="begin"/>
      </w:r>
      <w:r w:rsidR="005227AC" w:rsidRPr="005227AC">
        <w:rPr>
          <w:b w:val="0"/>
          <w:bCs w:val="0"/>
        </w:rPr>
        <w:instrText xml:space="preserve"> ADDIN EN.CITE &lt;EndNote&gt;&lt;Cite AuthorYear="1"&gt;&lt;Author&gt;Lobe&lt;/Author&gt;&lt;Year&gt;2001&lt;/Year&gt;&lt;RecNum&gt;1343&lt;/RecNum&gt;&lt;DisplayText&gt;Lobe et al. (2001)&lt;/DisplayText&gt;&lt;record&gt;&lt;rec-number&gt;1343&lt;/rec-number&gt;&lt;foreign-keys&gt;&lt;key app="EN" db-id="fddrdf5eteteeoetrwoptzs8te0drtpxp5xf" timestamp="1683544678" guid="8a2c181b-faba-4be1-b8b9-4a724cfff1df"&gt;1343&lt;/key&gt;&lt;/foreign-keys&gt;&lt;ref-type name="Journal Article"&gt;17&lt;/ref-type&gt;&lt;contributors&gt;&lt;authors&gt;&lt;author&gt;Lobe, I.&lt;/author&gt;&lt;author&gt;Amelung, W.&lt;/author&gt;&lt;author&gt;Du Preez, C. C.&lt;/author&gt;&lt;/authors&gt;&lt;/contributors&gt;&lt;titles&gt;&lt;title&gt;Losses of carbon and nitrogen with prolonged arable cropping from sandy soils of the South African Highveld&lt;/title&gt;&lt;secondary-title&gt;European Journal of Soil Science&lt;/secondary-title&gt;&lt;/titles&gt;&lt;periodical&gt;&lt;full-title&gt;European Journal of Soil Science&lt;/full-title&gt;&lt;/periodical&gt;&lt;pages&gt;93-101&lt;/pages&gt;&lt;volume&gt;52&lt;/volume&gt;&lt;number&gt;1&lt;/number&gt;&lt;dates&gt;&lt;year&gt;2001&lt;/year&gt;&lt;/dates&gt;&lt;isbn&gt;1351-0754&lt;/isbn&gt;&lt;urls&gt;&lt;related-urls&gt;&lt;url&gt;https://onlinelibrary.wiley.com/doi/abs/10.1046/j.1365-2389.2001.t01-1-00362.x&lt;/url&gt;&lt;/related-urls&gt;&lt;/urls&gt;&lt;electronic-resource-num&gt;https://doi.org/10.1046/j.1365-2389.2001.t01-1-00362.x&lt;/electronic-resource-num&gt;&lt;/record&gt;&lt;/Cite&gt;&lt;/EndNote&gt;</w:instrText>
      </w:r>
      <w:r w:rsidR="00531E55" w:rsidRPr="005227AC">
        <w:rPr>
          <w:b w:val="0"/>
          <w:bCs w:val="0"/>
        </w:rPr>
        <w:fldChar w:fldCharType="separate"/>
      </w:r>
      <w:r w:rsidR="00531E55" w:rsidRPr="005227AC">
        <w:rPr>
          <w:b w:val="0"/>
          <w:bCs w:val="0"/>
          <w:noProof/>
        </w:rPr>
        <w:t>Lobe et al. (2001)</w:t>
      </w:r>
      <w:r w:rsidR="00531E55" w:rsidRPr="005227AC">
        <w:rPr>
          <w:b w:val="0"/>
          <w:bCs w:val="0"/>
        </w:rPr>
        <w:fldChar w:fldCharType="end"/>
      </w:r>
      <w:r w:rsidR="00531E55" w:rsidRPr="005227AC">
        <w:rPr>
          <w:b w:val="0"/>
          <w:bCs w:val="0"/>
        </w:rPr>
        <w:t xml:space="preserve"> and </w:t>
      </w:r>
      <w:r w:rsidR="00531E55" w:rsidRPr="005227AC">
        <w:rPr>
          <w:b w:val="0"/>
          <w:bCs w:val="0"/>
        </w:rPr>
        <w:fldChar w:fldCharType="begin"/>
      </w:r>
      <w:r w:rsidR="005227AC" w:rsidRPr="005227AC">
        <w:rPr>
          <w:b w:val="0"/>
          <w:bCs w:val="0"/>
        </w:rPr>
        <w:instrText xml:space="preserve"> ADDIN EN.CITE &lt;EndNote&gt;&lt;Cite AuthorYear="1"&gt;&lt;Author&gt;Amelung&lt;/Author&gt;&lt;Year&gt;2002&lt;/Year&gt;&lt;RecNum&gt;1344&lt;/RecNum&gt;&lt;DisplayText&gt;Amelung et al. (2002)&lt;/DisplayText&gt;&lt;record&gt;&lt;rec-number&gt;1344&lt;/rec-number&gt;&lt;foreign-keys&gt;&lt;key app="EN" db-id="fddrdf5eteteeoetrwoptzs8te0drtpxp5xf" timestamp="1683544678" guid="000551e1-d159-4d8b-9fdf-d2154e2f4fd6"&gt;1344&lt;/key&gt;&lt;/foreign-keys&gt;&lt;ref-type name="Journal Article"&gt;17&lt;/ref-type&gt;&lt;contributors&gt;&lt;authors&gt;&lt;author&gt;Amelung, W.&lt;/author&gt;&lt;author&gt;Lobe, I.&lt;/author&gt;&lt;author&gt;Du Preez, C. C.&lt;/author&gt;&lt;/authors&gt;&lt;/contributors&gt;&lt;titles&gt;&lt;title&gt;Fate of microbial residues in sandy soils of the South African Highveld as influenced by prolonged arable cropping&lt;/title&gt;&lt;secondary-title&gt;European Journal of Soil Science&lt;/secondary-title&gt;&lt;/titles&gt;&lt;periodical&gt;&lt;full-title&gt;European Journal of Soil Science&lt;/full-title&gt;&lt;/periodical&gt;&lt;pages&gt;29-35&lt;/pages&gt;&lt;volume&gt;53&lt;/volume&gt;&lt;number&gt;1&lt;/number&gt;&lt;dates&gt;&lt;year&gt;2002&lt;/year&gt;&lt;/dates&gt;&lt;isbn&gt;1351-0754&lt;/isbn&gt;&lt;urls&gt;&lt;related-urls&gt;&lt;url&gt;https://onlinelibrary.wiley.com/doi/abs/10.1046/j.1365-2389.2002.00428.x&lt;/url&gt;&lt;/related-urls&gt;&lt;/urls&gt;&lt;electronic-resource-num&gt;https://doi.org/10.1046/j.1365-2389.2002.00428.x&lt;/electronic-resource-num&gt;&lt;/record&gt;&lt;/Cite&gt;&lt;/EndNote&gt;</w:instrText>
      </w:r>
      <w:r w:rsidR="00531E55" w:rsidRPr="005227AC">
        <w:rPr>
          <w:b w:val="0"/>
          <w:bCs w:val="0"/>
        </w:rPr>
        <w:fldChar w:fldCharType="separate"/>
      </w:r>
      <w:r w:rsidR="00531E55" w:rsidRPr="005227AC">
        <w:rPr>
          <w:b w:val="0"/>
          <w:bCs w:val="0"/>
          <w:noProof/>
        </w:rPr>
        <w:t>Amelung et al. (2002)</w:t>
      </w:r>
      <w:r w:rsidR="00531E55" w:rsidRPr="005227AC">
        <w:rPr>
          <w:b w:val="0"/>
          <w:bCs w:val="0"/>
        </w:rPr>
        <w:fldChar w:fldCharType="end"/>
      </w:r>
      <w:r w:rsidR="00531E55" w:rsidRPr="005227AC">
        <w:rPr>
          <w:b w:val="0"/>
          <w:bCs w:val="0"/>
        </w:rPr>
        <w:t xml:space="preserve"> (partially unpublished).</w:t>
      </w:r>
    </w:p>
    <w:bookmarkEnd w:id="0"/>
    <w:p w14:paraId="2BFBD3FA" w14:textId="5640F59F" w:rsidR="00430F12" w:rsidRDefault="00430F12" w:rsidP="00430F12"/>
    <w:p w14:paraId="151BC66E" w14:textId="4B3957C4" w:rsidR="00430F12" w:rsidRDefault="00430F12" w:rsidP="00430F12"/>
    <w:p w14:paraId="71E8CDD2" w14:textId="2CB7D6DC" w:rsidR="00430F12" w:rsidRDefault="00430F12" w:rsidP="00430F12"/>
    <w:p w14:paraId="23BA6EF2" w14:textId="464A2999" w:rsidR="00430F12" w:rsidRDefault="00430F12" w:rsidP="00430F12"/>
    <w:p w14:paraId="262AA647" w14:textId="0A494916" w:rsidR="00430F12" w:rsidRDefault="00430F12" w:rsidP="00430F12"/>
    <w:p w14:paraId="38858A9D" w14:textId="1DA042A6" w:rsidR="00430F12" w:rsidRDefault="00430F12" w:rsidP="00430F12"/>
    <w:p w14:paraId="282998CC" w14:textId="366B4E50" w:rsidR="00430F12" w:rsidRDefault="00430F12" w:rsidP="00430F12"/>
    <w:p w14:paraId="4DA83239" w14:textId="10E6B77C" w:rsidR="00430F12" w:rsidRDefault="00430F12" w:rsidP="00430F12"/>
    <w:p w14:paraId="7E19D281" w14:textId="0365B95F" w:rsidR="00430F12" w:rsidRDefault="00430F12" w:rsidP="00430F12"/>
    <w:p w14:paraId="70852582" w14:textId="085D45D5" w:rsidR="00430F12" w:rsidRDefault="00430F12" w:rsidP="00430F12"/>
    <w:p w14:paraId="7D4CADD4" w14:textId="2ED723DA" w:rsidR="00430F12" w:rsidRDefault="00430F12" w:rsidP="00430F12"/>
    <w:p w14:paraId="61DAB456" w14:textId="137DC2EA" w:rsidR="00430F12" w:rsidRDefault="00406320" w:rsidP="00430F12">
      <w:r w:rsidRPr="00BD53D0">
        <w:rPr>
          <w:noProof/>
        </w:rPr>
        <w:lastRenderedPageBreak/>
        <w:drawing>
          <wp:anchor distT="0" distB="0" distL="114300" distR="114300" simplePos="0" relativeHeight="251664384" behindDoc="0" locked="0" layoutInCell="1" allowOverlap="1" wp14:anchorId="5AAB4E4B" wp14:editId="78E7716E">
            <wp:simplePos x="0" y="0"/>
            <wp:positionH relativeFrom="page">
              <wp:posOffset>594360</wp:posOffset>
            </wp:positionH>
            <wp:positionV relativeFrom="page">
              <wp:posOffset>579120</wp:posOffset>
            </wp:positionV>
            <wp:extent cx="6372000" cy="4856400"/>
            <wp:effectExtent l="0" t="0" r="0" b="190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atio_by_sample_no_v5.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6372000" cy="4856400"/>
                    </a:xfrm>
                    <a:prstGeom prst="rect">
                      <a:avLst/>
                    </a:prstGeom>
                  </pic:spPr>
                </pic:pic>
              </a:graphicData>
            </a:graphic>
            <wp14:sizeRelH relativeFrom="margin">
              <wp14:pctWidth>0</wp14:pctWidth>
            </wp14:sizeRelH>
            <wp14:sizeRelV relativeFrom="margin">
              <wp14:pctHeight>0</wp14:pctHeight>
            </wp14:sizeRelV>
          </wp:anchor>
        </w:drawing>
      </w:r>
    </w:p>
    <w:p w14:paraId="3EDAEC71" w14:textId="17C74375" w:rsidR="00406320" w:rsidRPr="005227AC" w:rsidRDefault="00406320" w:rsidP="00406320">
      <w:pPr>
        <w:pStyle w:val="Caption"/>
        <w:rPr>
          <w:b w:val="0"/>
          <w:bCs w:val="0"/>
        </w:rPr>
      </w:pPr>
      <w:r w:rsidRPr="005227AC">
        <w:t xml:space="preserve">Figure S2: </w:t>
      </w:r>
      <w:r w:rsidRPr="005227AC">
        <w:rPr>
          <w:b w:val="0"/>
          <w:bCs w:val="0"/>
          <w:vertAlign w:val="superscript"/>
        </w:rPr>
        <w:t>240</w:t>
      </w:r>
      <w:r w:rsidRPr="005227AC">
        <w:rPr>
          <w:b w:val="0"/>
          <w:bCs w:val="0"/>
        </w:rPr>
        <w:t>Pu/</w:t>
      </w:r>
      <w:r w:rsidRPr="005227AC">
        <w:rPr>
          <w:b w:val="0"/>
          <w:bCs w:val="0"/>
          <w:vertAlign w:val="superscript"/>
        </w:rPr>
        <w:t>239</w:t>
      </w:r>
      <w:r w:rsidRPr="005227AC">
        <w:rPr>
          <w:b w:val="0"/>
          <w:bCs w:val="0"/>
        </w:rPr>
        <w:t xml:space="preserve">Pu of all samples measured (including replicates; error bars denote 1σ AMS measurement uncertainties). The weighed mean </w:t>
      </w:r>
      <w:r w:rsidRPr="005227AC">
        <w:rPr>
          <w:b w:val="0"/>
          <w:bCs w:val="0"/>
          <w:i/>
        </w:rPr>
        <w:t>x</w:t>
      </w:r>
      <w:r w:rsidRPr="005227AC">
        <w:rPr>
          <w:b w:val="0"/>
          <w:bCs w:val="0"/>
          <w:i/>
          <w:vertAlign w:val="subscript"/>
        </w:rPr>
        <w:t>CE</w:t>
      </w:r>
      <w:r w:rsidRPr="005227AC">
        <w:rPr>
          <w:b w:val="0"/>
          <w:bCs w:val="0"/>
        </w:rPr>
        <w:t xml:space="preserve"> of all ratios is 0.180 ± 0.002 (thick black line includes the standard error </w:t>
      </w:r>
      <w:r w:rsidRPr="005227AC">
        <w:rPr>
          <w:b w:val="0"/>
          <w:bCs w:val="0"/>
          <w:i/>
        </w:rPr>
        <w:t>σ</w:t>
      </w:r>
      <w:r w:rsidRPr="005227AC">
        <w:rPr>
          <w:b w:val="0"/>
          <w:bCs w:val="0"/>
          <w:i/>
          <w:vertAlign w:val="subscript"/>
        </w:rPr>
        <w:t>x</w:t>
      </w:r>
      <w:r w:rsidRPr="005227AC">
        <w:rPr>
          <w:b w:val="0"/>
          <w:bCs w:val="0"/>
        </w:rPr>
        <w:t xml:space="preserve">). The weighed mean thus plots within the range of </w:t>
      </w:r>
      <w:r w:rsidRPr="005227AC">
        <w:rPr>
          <w:b w:val="0"/>
          <w:bCs w:val="0"/>
          <w:vertAlign w:val="superscript"/>
        </w:rPr>
        <w:t>239</w:t>
      </w:r>
      <w:r w:rsidRPr="005227AC">
        <w:rPr>
          <w:b w:val="0"/>
          <w:bCs w:val="0"/>
        </w:rPr>
        <w:t xml:space="preserve">Pu and </w:t>
      </w:r>
      <w:r w:rsidRPr="005227AC">
        <w:rPr>
          <w:b w:val="0"/>
          <w:bCs w:val="0"/>
          <w:vertAlign w:val="superscript"/>
        </w:rPr>
        <w:t>240</w:t>
      </w:r>
      <w:r w:rsidRPr="005227AC">
        <w:rPr>
          <w:b w:val="0"/>
          <w:bCs w:val="0"/>
        </w:rPr>
        <w:t xml:space="preserve">Pu sourced from global fallout for the latitudinal band 0-30°S (0.173 ± 0.014, 1σ) as constrained by </w:t>
      </w:r>
      <w:r w:rsidRPr="005227AC">
        <w:rPr>
          <w:b w:val="0"/>
          <w:bCs w:val="0"/>
        </w:rPr>
        <w:fldChar w:fldCharType="begin"/>
      </w:r>
      <w:r w:rsidR="005227AC" w:rsidRPr="005227AC">
        <w:rPr>
          <w:b w:val="0"/>
          <w:bCs w:val="0"/>
        </w:rPr>
        <w:instrText xml:space="preserve"> ADDIN EN.CITE &lt;EndNote&gt;&lt;Cite AuthorYear="1"&gt;&lt;Author&gt;Kelley&lt;/Author&gt;&lt;Year&gt;1999&lt;/Year&gt;&lt;RecNum&gt;1387&lt;/RecNum&gt;&lt;DisplayText&gt;Kelley et al. (1999)&lt;/DisplayText&gt;&lt;record&gt;&lt;rec-number&gt;1387&lt;/rec-number&gt;&lt;foreign-keys&gt;&lt;key app="EN" db-id="fddrdf5eteteeoetrwoptzs8te0drtpxp5xf" timestamp="1683544743" guid="d00adc3d-987b-47d0-9e5c-48017e693c3c"&gt;1387&lt;/key&gt;&lt;/foreign-keys&gt;&lt;ref-type name="Journal Article"&gt;17&lt;/ref-type&gt;&lt;contributors&gt;&lt;authors&gt;&lt;author&gt;Kelley, J. M.&lt;/author&gt;&lt;author&gt;Bond, L. A.&lt;/author&gt;&lt;author&gt;Beasley, T. M.&lt;/author&gt;&lt;/authors&gt;&lt;/contributors&gt;&lt;titles&gt;&lt;title&gt;Global distribution of Pu isotopes and 237Np&lt;/title&gt;&lt;secondary-title&gt;Science of The Total Environment&lt;/secondary-title&gt;&lt;/titles&gt;&lt;periodical&gt;&lt;full-title&gt;Science of The Total Environment&lt;/full-title&gt;&lt;/periodical&gt;&lt;pages&gt;483-500&lt;/pages&gt;&lt;volume&gt;237-238&lt;/volume&gt;&lt;keywords&gt;&lt;keyword&gt;Plutonium isotopes&lt;/keyword&gt;&lt;keyword&gt;Np&lt;/keyword&gt;&lt;keyword&gt;Distribution of radionuclides&lt;/keyword&gt;&lt;/keywords&gt;&lt;dates&gt;&lt;year&gt;1999&lt;/year&gt;&lt;pub-dates&gt;&lt;date&gt;1999/09/30/&lt;/date&gt;&lt;/pub-dates&gt;&lt;/dates&gt;&lt;isbn&gt;0048-9697&lt;/isbn&gt;&lt;urls&gt;&lt;related-urls&gt;&lt;url&gt;https://www.sciencedirect.com/science/article/pii/S0048969799001606&lt;/url&gt;&lt;/related-urls&gt;&lt;/urls&gt;&lt;electronic-resource-num&gt;https://doi.org/10.1016/S0048-9697(99)00160-6&lt;/electronic-resource-num&gt;&lt;/record&gt;&lt;/Cite&gt;&lt;/EndNote&gt;</w:instrText>
      </w:r>
      <w:r w:rsidRPr="005227AC">
        <w:rPr>
          <w:b w:val="0"/>
          <w:bCs w:val="0"/>
        </w:rPr>
        <w:fldChar w:fldCharType="separate"/>
      </w:r>
      <w:r w:rsidRPr="005227AC">
        <w:rPr>
          <w:b w:val="0"/>
          <w:bCs w:val="0"/>
          <w:noProof/>
        </w:rPr>
        <w:t>Kelley et al. (1999)</w:t>
      </w:r>
      <w:r w:rsidRPr="005227AC">
        <w:rPr>
          <w:b w:val="0"/>
          <w:bCs w:val="0"/>
        </w:rPr>
        <w:fldChar w:fldCharType="end"/>
      </w:r>
      <w:r w:rsidRPr="005227AC">
        <w:rPr>
          <w:b w:val="0"/>
          <w:bCs w:val="0"/>
        </w:rPr>
        <w:t xml:space="preserve">. Other FRN sources are characterised by different </w:t>
      </w:r>
      <w:r w:rsidRPr="005227AC">
        <w:rPr>
          <w:b w:val="0"/>
          <w:bCs w:val="0"/>
          <w:vertAlign w:val="superscript"/>
        </w:rPr>
        <w:t>240</w:t>
      </w:r>
      <w:r w:rsidRPr="005227AC">
        <w:rPr>
          <w:b w:val="0"/>
          <w:bCs w:val="0"/>
        </w:rPr>
        <w:t>Pu/</w:t>
      </w:r>
      <w:r w:rsidRPr="005227AC">
        <w:rPr>
          <w:b w:val="0"/>
          <w:bCs w:val="0"/>
          <w:vertAlign w:val="superscript"/>
        </w:rPr>
        <w:t>239</w:t>
      </w:r>
      <w:r w:rsidRPr="005227AC">
        <w:rPr>
          <w:b w:val="0"/>
          <w:bCs w:val="0"/>
        </w:rPr>
        <w:t xml:space="preserve">Pu, e.g. when originating from the Chernobyl nuclear power plant (NPP) accident (here shown as the 1σ range of the mean; 0.396 ± 0.014) cited from </w:t>
      </w:r>
      <w:r w:rsidRPr="005227AC">
        <w:rPr>
          <w:b w:val="0"/>
          <w:bCs w:val="0"/>
        </w:rPr>
        <w:fldChar w:fldCharType="begin"/>
      </w:r>
      <w:r w:rsidR="005227AC" w:rsidRPr="005227AC">
        <w:rPr>
          <w:b w:val="0"/>
          <w:bCs w:val="0"/>
        </w:rPr>
        <w:instrText xml:space="preserve"> ADDIN EN.CITE &lt;EndNote&gt;&lt;Cite AuthorYear="1"&gt;&lt;Author&gt;Boulyga&lt;/Author&gt;&lt;Year&gt;2002&lt;/Year&gt;&lt;RecNum&gt;1385&lt;/RecNum&gt;&lt;DisplayText&gt;Boulyga and Becker (2002)&lt;/DisplayText&gt;&lt;record&gt;&lt;rec-number&gt;1385&lt;/rec-number&gt;&lt;foreign-keys&gt;&lt;key app="EN" db-id="fddrdf5eteteeoetrwoptzs8te0drtpxp5xf" timestamp="1683544742" guid="8cba51bd-ff4e-4042-a511-b642620f7a62"&gt;1385&lt;/key&gt;&lt;/foreign-keys&gt;&lt;ref-type name="Journal Article"&gt;17&lt;/ref-type&gt;&lt;contributors&gt;&lt;authors&gt;&lt;author&gt;Boulyga, Sergei F&lt;/author&gt;&lt;author&gt;Becker, J Sabine&lt;/author&gt;&lt;/authors&gt;&lt;/contributors&gt;&lt;titles&gt;&lt;title&gt;Isotopic analysis of uranium and plutonium using ICP-MS and estimation of burn-up of spent uranium in contaminated environmental samples&lt;/title&gt;&lt;secondary-title&gt;Journal of Analytical Atomic Spectrometry&lt;/secondary-title&gt;&lt;/titles&gt;&lt;periodical&gt;&lt;full-title&gt;Journal of Analytical Atomic Spectrometry&lt;/full-title&gt;&lt;/periodical&gt;&lt;pages&gt;1143-1147&lt;/pages&gt;&lt;volume&gt;17&lt;/volume&gt;&lt;number&gt;9&lt;/number&gt;&lt;dates&gt;&lt;year&gt;2002&lt;/year&gt;&lt;/dates&gt;&lt;urls&gt;&lt;/urls&gt;&lt;/record&gt;&lt;/Cite&gt;&lt;/EndNote&gt;</w:instrText>
      </w:r>
      <w:r w:rsidRPr="005227AC">
        <w:rPr>
          <w:b w:val="0"/>
          <w:bCs w:val="0"/>
        </w:rPr>
        <w:fldChar w:fldCharType="separate"/>
      </w:r>
      <w:r w:rsidRPr="005227AC">
        <w:rPr>
          <w:b w:val="0"/>
          <w:bCs w:val="0"/>
          <w:noProof/>
        </w:rPr>
        <w:t>Boulyga and Becker (2002)</w:t>
      </w:r>
      <w:r w:rsidRPr="005227AC">
        <w:rPr>
          <w:b w:val="0"/>
          <w:bCs w:val="0"/>
        </w:rPr>
        <w:fldChar w:fldCharType="end"/>
      </w:r>
      <w:r w:rsidRPr="005227AC">
        <w:rPr>
          <w:b w:val="0"/>
          <w:bCs w:val="0"/>
        </w:rPr>
        <w:t xml:space="preserve">, Fukushima NPP accident (1σ of the mean, i.e. 0.319 ± 0.014 of three surface soil samples taken 25-32 km away from the power plant) calculated from </w:t>
      </w:r>
      <w:r w:rsidRPr="005227AC">
        <w:rPr>
          <w:b w:val="0"/>
          <w:bCs w:val="0"/>
        </w:rPr>
        <w:fldChar w:fldCharType="begin"/>
      </w:r>
      <w:r w:rsidR="005227AC" w:rsidRPr="005227AC">
        <w:rPr>
          <w:b w:val="0"/>
          <w:bCs w:val="0"/>
        </w:rPr>
        <w:instrText xml:space="preserve"> ADDIN EN.CITE &lt;EndNote&gt;&lt;Cite AuthorYear="1"&gt;&lt;Author&gt;Zheng&lt;/Author&gt;&lt;Year&gt;2012&lt;/Year&gt;&lt;RecNum&gt;1386&lt;/RecNum&gt;&lt;DisplayText&gt;Zheng et al. (2012)&lt;/DisplayText&gt;&lt;record&gt;&lt;rec-number&gt;1386&lt;/rec-number&gt;&lt;foreign-keys&gt;&lt;key app="EN" db-id="fddrdf5eteteeoetrwoptzs8te0drtpxp5xf" timestamp="1683544742" guid="a3c1e289-7fe4-4019-86b6-2f27b211a24b"&gt;1386&lt;/key&gt;&lt;/foreign-keys&gt;&lt;ref-type name="Journal Article"&gt;17&lt;/ref-type&gt;&lt;contributors&gt;&lt;authors&gt;&lt;author&gt;Zheng, Jian&lt;/author&gt;&lt;author&gt;Tagami, Keiko&lt;/author&gt;&lt;author&gt;Watanabe, Yoshito&lt;/author&gt;&lt;author&gt;Uchida, Shigeo&lt;/author&gt;&lt;author&gt;Aono, Tatsuo&lt;/author&gt;&lt;author&gt;Ishii, Nobuyoshi&lt;/author&gt;&lt;author&gt;Yoshida, Satoshi&lt;/author&gt;&lt;author&gt;Kubota, Yoshihisa&lt;/author&gt;&lt;author&gt;Fuma, Shoichi&lt;/author&gt;&lt;author&gt;Ihara, Sadao&lt;/author&gt;&lt;/authors&gt;&lt;/contributors&gt;&lt;titles&gt;&lt;title&gt;Isotopic evidence of plutonium release into the environment from the Fukushima DNPP accident&lt;/title&gt;&lt;secondary-title&gt;Scientific Reports&lt;/secondary-title&gt;&lt;/titles&gt;&lt;periodical&gt;&lt;full-title&gt;Scientific Reports&lt;/full-title&gt;&lt;/periodical&gt;&lt;pages&gt;304&lt;/pages&gt;&lt;volume&gt;2&lt;/volume&gt;&lt;number&gt;1&lt;/number&gt;&lt;dates&gt;&lt;year&gt;2012&lt;/year&gt;&lt;pub-dates&gt;&lt;date&gt;2012/03/08&lt;/date&gt;&lt;/pub-dates&gt;&lt;/dates&gt;&lt;isbn&gt;2045-2322&lt;/isbn&gt;&lt;urls&gt;&lt;related-urls&gt;&lt;url&gt;https://doi.org/10.1038/srep00304&lt;/url&gt;&lt;/related-urls&gt;&lt;/urls&gt;&lt;electronic-resource-num&gt;10.1038/srep00304&lt;/electronic-resource-num&gt;&lt;/record&gt;&lt;/Cite&gt;&lt;/EndNote&gt;</w:instrText>
      </w:r>
      <w:r w:rsidRPr="005227AC">
        <w:rPr>
          <w:b w:val="0"/>
          <w:bCs w:val="0"/>
        </w:rPr>
        <w:fldChar w:fldCharType="separate"/>
      </w:r>
      <w:r w:rsidRPr="005227AC">
        <w:rPr>
          <w:b w:val="0"/>
          <w:bCs w:val="0"/>
          <w:noProof/>
        </w:rPr>
        <w:t>Zheng et al. (2012)</w:t>
      </w:r>
      <w:r w:rsidRPr="005227AC">
        <w:rPr>
          <w:b w:val="0"/>
          <w:bCs w:val="0"/>
        </w:rPr>
        <w:fldChar w:fldCharType="end"/>
      </w:r>
      <w:r w:rsidRPr="005227AC">
        <w:rPr>
          <w:b w:val="0"/>
          <w:bCs w:val="0"/>
        </w:rPr>
        <w:t xml:space="preserve">, or when originating from weapons-grade plutonium (Nevada National Security Site, GMX area, 1σ of the mean – 0.051 ± 0.000) cited from </w:t>
      </w:r>
      <w:r w:rsidRPr="005227AC">
        <w:rPr>
          <w:b w:val="0"/>
          <w:bCs w:val="0"/>
        </w:rPr>
        <w:fldChar w:fldCharType="begin"/>
      </w:r>
      <w:r w:rsidR="005227AC" w:rsidRPr="005227AC">
        <w:rPr>
          <w:b w:val="0"/>
          <w:bCs w:val="0"/>
        </w:rPr>
        <w:instrText xml:space="preserve"> ADDIN EN.CITE &lt;EndNote&gt;&lt;Cite AuthorYear="1"&gt;&lt;Author&gt;Krey&lt;/Author&gt;&lt;Year&gt;1976&lt;/Year&gt;&lt;RecNum&gt;1388&lt;/RecNum&gt;&lt;DisplayText&gt;Krey et al. (1976)&lt;/DisplayText&gt;&lt;record&gt;&lt;rec-number&gt;1388&lt;/rec-number&gt;&lt;foreign-keys&gt;&lt;key app="EN" db-id="fddrdf5eteteeoetrwoptzs8te0drtpxp5xf" timestamp="1683544743" guid="3a5fadbf-ac99-42f7-9a5a-00c728a85375"&gt;1388&lt;/key&gt;&lt;/foreign-keys&gt;&lt;ref-type name="Conference Proceedings"&gt;10&lt;/ref-type&gt;&lt;contributors&gt;&lt;authors&gt;&lt;author&gt;Krey, PW&lt;/author&gt;&lt;author&gt;Hardy, EP&lt;/author&gt;&lt;author&gt;Pachucki, C&lt;/author&gt;&lt;author&gt;Rourke, F&lt;/author&gt;&lt;author&gt;Coluzza, J&lt;/author&gt;&lt;author&gt;Benson, WK&lt;/author&gt;&lt;/authors&gt;&lt;/contributors&gt;&lt;titles&gt;&lt;title&gt;Mass isotopic composition of global fall-out plutonium in soil&lt;/title&gt;&lt;secondary-title&gt;Proceedings Series-International Atomic Energy Agency (IAEA)&lt;/secondary-title&gt;&lt;/titles&gt;&lt;dates&gt;&lt;year&gt;1976&lt;/year&gt;&lt;/dates&gt;&lt;publisher&gt;IAEA&lt;/publisher&gt;&lt;urls&gt;&lt;/urls&gt;&lt;/record&gt;&lt;/Cite&gt;&lt;/EndNote&gt;</w:instrText>
      </w:r>
      <w:r w:rsidRPr="005227AC">
        <w:rPr>
          <w:b w:val="0"/>
          <w:bCs w:val="0"/>
        </w:rPr>
        <w:fldChar w:fldCharType="separate"/>
      </w:r>
      <w:r w:rsidRPr="005227AC">
        <w:rPr>
          <w:b w:val="0"/>
          <w:bCs w:val="0"/>
          <w:noProof/>
        </w:rPr>
        <w:t>Krey et al. (1976)</w:t>
      </w:r>
      <w:r w:rsidRPr="005227AC">
        <w:rPr>
          <w:b w:val="0"/>
          <w:bCs w:val="0"/>
        </w:rPr>
        <w:fldChar w:fldCharType="end"/>
      </w:r>
      <w:r w:rsidRPr="005227AC">
        <w:rPr>
          <w:b w:val="0"/>
          <w:bCs w:val="0"/>
        </w:rPr>
        <w:t>.</w:t>
      </w:r>
    </w:p>
    <w:p w14:paraId="623A58F0" w14:textId="19821615" w:rsidR="00430F12" w:rsidRDefault="00430F12" w:rsidP="00430F12"/>
    <w:p w14:paraId="2E95EA4A" w14:textId="53D84415" w:rsidR="00430F12" w:rsidRDefault="00430F12" w:rsidP="00430F12"/>
    <w:p w14:paraId="779B45B9" w14:textId="3DF20138" w:rsidR="002018FD" w:rsidRDefault="00AF2350" w:rsidP="00AF2350">
      <w:pPr>
        <w:jc w:val="center"/>
      </w:pPr>
      <w:r>
        <w:rPr>
          <w:noProof/>
        </w:rPr>
        <w:lastRenderedPageBreak/>
        <w:drawing>
          <wp:inline distT="0" distB="0" distL="0" distR="0" wp14:anchorId="082583F5" wp14:editId="627468B0">
            <wp:extent cx="4164468" cy="3939465"/>
            <wp:effectExtent l="0" t="0" r="762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64468" cy="3939465"/>
                    </a:xfrm>
                    <a:prstGeom prst="rect">
                      <a:avLst/>
                    </a:prstGeom>
                  </pic:spPr>
                </pic:pic>
              </a:graphicData>
            </a:graphic>
          </wp:inline>
        </w:drawing>
      </w:r>
    </w:p>
    <w:p w14:paraId="779102A9" w14:textId="284E4A19" w:rsidR="001305FE" w:rsidRPr="005227AC" w:rsidRDefault="00F64EBA" w:rsidP="001305FE">
      <w:pPr>
        <w:pStyle w:val="Caption"/>
      </w:pPr>
      <w:r w:rsidRPr="005227AC">
        <w:t>Figure S</w:t>
      </w:r>
      <w:r w:rsidR="00406320" w:rsidRPr="005227AC">
        <w:t>3</w:t>
      </w:r>
      <w:r w:rsidRPr="005227AC">
        <w:t>:</w:t>
      </w:r>
      <w:r w:rsidR="00D73487" w:rsidRPr="005227AC">
        <w:t xml:space="preserve"> </w:t>
      </w:r>
      <w:r w:rsidR="00D73487" w:rsidRPr="005227AC">
        <w:rPr>
          <w:b w:val="0"/>
          <w:bCs w:val="0"/>
          <w:vertAlign w:val="superscript"/>
        </w:rPr>
        <w:t>137</w:t>
      </w:r>
      <w:r w:rsidR="00D73487" w:rsidRPr="005227AC">
        <w:rPr>
          <w:b w:val="0"/>
          <w:bCs w:val="0"/>
        </w:rPr>
        <w:t xml:space="preserve">Cs and </w:t>
      </w:r>
      <w:r w:rsidR="00D73487" w:rsidRPr="005227AC">
        <w:rPr>
          <w:b w:val="0"/>
          <w:bCs w:val="0"/>
          <w:vertAlign w:val="superscript"/>
        </w:rPr>
        <w:t>210</w:t>
      </w:r>
      <w:r w:rsidR="00D73487" w:rsidRPr="005227AC">
        <w:rPr>
          <w:b w:val="0"/>
          <w:bCs w:val="0"/>
        </w:rPr>
        <w:t>Pb</w:t>
      </w:r>
      <w:r w:rsidR="00D73487" w:rsidRPr="005227AC">
        <w:rPr>
          <w:b w:val="0"/>
          <w:bCs w:val="0"/>
          <w:vertAlign w:val="subscript"/>
        </w:rPr>
        <w:t>ex</w:t>
      </w:r>
      <w:r w:rsidR="00D73487" w:rsidRPr="005227AC">
        <w:rPr>
          <w:b w:val="0"/>
          <w:bCs w:val="0"/>
        </w:rPr>
        <w:t xml:space="preserve"> topsoil activities. All data shown with 1σ uncertainties, which equal the estimated measurement errors for </w:t>
      </w:r>
      <w:r w:rsidR="00D73487" w:rsidRPr="005227AC">
        <w:rPr>
          <w:b w:val="0"/>
          <w:bCs w:val="0"/>
          <w:vertAlign w:val="superscript"/>
        </w:rPr>
        <w:t>137</w:t>
      </w:r>
      <w:r w:rsidR="00D73487" w:rsidRPr="005227AC">
        <w:rPr>
          <w:b w:val="0"/>
          <w:bCs w:val="0"/>
        </w:rPr>
        <w:t xml:space="preserve">Cs and include error propagation for the calculation of </w:t>
      </w:r>
      <w:r w:rsidR="00D73487" w:rsidRPr="005227AC">
        <w:rPr>
          <w:b w:val="0"/>
          <w:bCs w:val="0"/>
          <w:vertAlign w:val="superscript"/>
        </w:rPr>
        <w:t>210</w:t>
      </w:r>
      <w:r w:rsidR="00D73487" w:rsidRPr="005227AC">
        <w:rPr>
          <w:b w:val="0"/>
          <w:bCs w:val="0"/>
        </w:rPr>
        <w:t>Pb</w:t>
      </w:r>
      <w:r w:rsidR="00D73487" w:rsidRPr="005227AC">
        <w:rPr>
          <w:b w:val="0"/>
          <w:bCs w:val="0"/>
          <w:vertAlign w:val="subscript"/>
        </w:rPr>
        <w:t>ex</w:t>
      </w:r>
      <w:r w:rsidR="00D73487" w:rsidRPr="005227AC">
        <w:rPr>
          <w:b w:val="0"/>
          <w:bCs w:val="0"/>
        </w:rPr>
        <w:t xml:space="preserve">. </w:t>
      </w:r>
      <w:r w:rsidR="001305FE" w:rsidRPr="005227AC">
        <w:rPr>
          <w:b w:val="0"/>
          <w:bCs w:val="0"/>
        </w:rPr>
        <w:t>Linear fits are shown for visual comparison of the &lt;35 YOC (years of cultivation) and &gt;35 YOC samples, respectively (dashed lines).</w:t>
      </w:r>
    </w:p>
    <w:p w14:paraId="09A030DE" w14:textId="11200A4E" w:rsidR="002018FD" w:rsidRDefault="002018FD" w:rsidP="00F64EBA">
      <w:pPr>
        <w:pStyle w:val="Caption"/>
      </w:pPr>
    </w:p>
    <w:p w14:paraId="6E8D6688" w14:textId="244FBE55" w:rsidR="002018FD" w:rsidRDefault="002018FD" w:rsidP="002018FD"/>
    <w:p w14:paraId="22458724" w14:textId="2837899A" w:rsidR="002018FD" w:rsidRDefault="002018FD" w:rsidP="002018FD"/>
    <w:p w14:paraId="75A6B089" w14:textId="28FDD311" w:rsidR="002018FD" w:rsidRDefault="002018FD" w:rsidP="002018FD"/>
    <w:p w14:paraId="2C96F45E" w14:textId="17D40B0F" w:rsidR="002018FD" w:rsidRDefault="002018FD" w:rsidP="002018FD"/>
    <w:p w14:paraId="3CB90EB3" w14:textId="0C5BCF87" w:rsidR="002018FD" w:rsidRDefault="002018FD" w:rsidP="002018FD"/>
    <w:p w14:paraId="39352471" w14:textId="227A6ED4" w:rsidR="002018FD" w:rsidRDefault="002018FD" w:rsidP="002018FD"/>
    <w:p w14:paraId="4DFA8BB6" w14:textId="142105C9" w:rsidR="002018FD" w:rsidRDefault="002018FD" w:rsidP="002018FD"/>
    <w:p w14:paraId="51E7AC09" w14:textId="10DFC910" w:rsidR="002018FD" w:rsidRDefault="002018FD" w:rsidP="002018FD"/>
    <w:p w14:paraId="7431143F" w14:textId="3F1BFBDB" w:rsidR="002018FD" w:rsidRDefault="002018FD" w:rsidP="002018FD"/>
    <w:p w14:paraId="2F99D7ED" w14:textId="17EF4750" w:rsidR="002018FD" w:rsidRDefault="002018FD" w:rsidP="002018FD"/>
    <w:p w14:paraId="5651B30E" w14:textId="77777777" w:rsidR="00ED2EB1" w:rsidRDefault="00ED2EB1" w:rsidP="002018FD"/>
    <w:p w14:paraId="5A7F1C2F" w14:textId="1DC773D1" w:rsidR="002018FD" w:rsidRDefault="009A71E5" w:rsidP="009A71E5">
      <w:pPr>
        <w:jc w:val="center"/>
      </w:pPr>
      <w:r>
        <w:rPr>
          <w:noProof/>
        </w:rPr>
        <w:lastRenderedPageBreak/>
        <w:drawing>
          <wp:inline distT="0" distB="0" distL="0" distR="0" wp14:anchorId="07B2CA28" wp14:editId="414847FB">
            <wp:extent cx="4059643" cy="400745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b_vs_C_v2.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64640" cy="4012390"/>
                    </a:xfrm>
                    <a:prstGeom prst="rect">
                      <a:avLst/>
                    </a:prstGeom>
                  </pic:spPr>
                </pic:pic>
              </a:graphicData>
            </a:graphic>
          </wp:inline>
        </w:drawing>
      </w:r>
    </w:p>
    <w:p w14:paraId="3EBE65D3" w14:textId="5505F827" w:rsidR="009A71E5" w:rsidRPr="005227AC" w:rsidRDefault="009A71E5" w:rsidP="009A71E5">
      <w:pPr>
        <w:pStyle w:val="Caption"/>
      </w:pPr>
      <w:r w:rsidRPr="005227AC">
        <w:t>Figure S</w:t>
      </w:r>
      <w:r w:rsidR="002D7E66" w:rsidRPr="005227AC">
        <w:t>4</w:t>
      </w:r>
      <w:r w:rsidRPr="005227AC">
        <w:t>:</w:t>
      </w:r>
      <w:r w:rsidRPr="005227AC">
        <w:rPr>
          <w:b w:val="0"/>
          <w:bCs w:val="0"/>
        </w:rPr>
        <w:t xml:space="preserve"> Soil organic carbon (SOC) contents and </w:t>
      </w:r>
      <w:r w:rsidRPr="005227AC">
        <w:rPr>
          <w:b w:val="0"/>
          <w:bCs w:val="0"/>
          <w:vertAlign w:val="superscript"/>
        </w:rPr>
        <w:t>210</w:t>
      </w:r>
      <w:r w:rsidRPr="005227AC">
        <w:rPr>
          <w:b w:val="0"/>
          <w:bCs w:val="0"/>
        </w:rPr>
        <w:t>Pb</w:t>
      </w:r>
      <w:r w:rsidRPr="005227AC">
        <w:rPr>
          <w:b w:val="0"/>
          <w:bCs w:val="0"/>
          <w:vertAlign w:val="subscript"/>
        </w:rPr>
        <w:t>ex</w:t>
      </w:r>
      <w:r w:rsidRPr="005227AC">
        <w:rPr>
          <w:b w:val="0"/>
          <w:bCs w:val="0"/>
        </w:rPr>
        <w:t xml:space="preserve"> activities in the bulk topsoil. </w:t>
      </w:r>
      <w:r w:rsidRPr="005227AC">
        <w:rPr>
          <w:b w:val="0"/>
          <w:bCs w:val="0"/>
          <w:vertAlign w:val="superscript"/>
        </w:rPr>
        <w:t>210</w:t>
      </w:r>
      <w:r w:rsidRPr="005227AC">
        <w:rPr>
          <w:b w:val="0"/>
          <w:bCs w:val="0"/>
        </w:rPr>
        <w:t>Pb</w:t>
      </w:r>
      <w:r w:rsidRPr="005227AC">
        <w:rPr>
          <w:b w:val="0"/>
          <w:bCs w:val="0"/>
          <w:vertAlign w:val="subscript"/>
        </w:rPr>
        <w:t>ex</w:t>
      </w:r>
      <w:r w:rsidRPr="005227AC">
        <w:rPr>
          <w:b w:val="0"/>
          <w:bCs w:val="0"/>
        </w:rPr>
        <w:t xml:space="preserve"> data includes error-propagated 1σ measurement uncertainties.</w:t>
      </w:r>
    </w:p>
    <w:p w14:paraId="1025CA7E" w14:textId="47D0FE75" w:rsidR="002018FD" w:rsidRDefault="002018FD" w:rsidP="002018FD"/>
    <w:p w14:paraId="37BEB05C" w14:textId="0D9D495F" w:rsidR="002018FD" w:rsidRDefault="002018FD" w:rsidP="002018FD"/>
    <w:p w14:paraId="66146B66" w14:textId="6E932D75" w:rsidR="002018FD" w:rsidRDefault="002018FD" w:rsidP="002018FD"/>
    <w:p w14:paraId="1F43D26C" w14:textId="13BD4652" w:rsidR="002018FD" w:rsidRDefault="002018FD" w:rsidP="002018FD"/>
    <w:p w14:paraId="5F3F8018" w14:textId="130B4CB3" w:rsidR="002018FD" w:rsidRDefault="002018FD" w:rsidP="002018FD"/>
    <w:p w14:paraId="338A2880" w14:textId="5A37A1F3" w:rsidR="002018FD" w:rsidRDefault="002018FD" w:rsidP="002018FD"/>
    <w:p w14:paraId="234CBB80" w14:textId="7B5E34DD" w:rsidR="002018FD" w:rsidRDefault="002018FD" w:rsidP="002018FD"/>
    <w:p w14:paraId="681F0D0D" w14:textId="3A3EAC3B" w:rsidR="002018FD" w:rsidRDefault="002018FD" w:rsidP="002018FD"/>
    <w:p w14:paraId="116232D2" w14:textId="16B20C13" w:rsidR="002018FD" w:rsidRDefault="002018FD" w:rsidP="002018FD"/>
    <w:p w14:paraId="4785E4C8" w14:textId="58C93C66" w:rsidR="002018FD" w:rsidRDefault="002018FD" w:rsidP="002018FD"/>
    <w:p w14:paraId="3B1EE7A0" w14:textId="6655F115" w:rsidR="002018FD" w:rsidRDefault="002018FD" w:rsidP="002018FD"/>
    <w:p w14:paraId="0A0E9DA1" w14:textId="6D92CD74" w:rsidR="002018FD" w:rsidRDefault="002018FD" w:rsidP="002018FD"/>
    <w:p w14:paraId="33E0C3BE" w14:textId="7D75362E" w:rsidR="002018FD" w:rsidRDefault="002D7E66" w:rsidP="002018FD">
      <w:r>
        <w:rPr>
          <w:noProof/>
        </w:rPr>
        <w:lastRenderedPageBreak/>
        <w:drawing>
          <wp:inline distT="0" distB="0" distL="0" distR="0" wp14:anchorId="14AC8A42" wp14:editId="38F6181A">
            <wp:extent cx="6372225" cy="45910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72225" cy="4591050"/>
                    </a:xfrm>
                    <a:prstGeom prst="rect">
                      <a:avLst/>
                    </a:prstGeom>
                  </pic:spPr>
                </pic:pic>
              </a:graphicData>
            </a:graphic>
          </wp:inline>
        </w:drawing>
      </w:r>
    </w:p>
    <w:p w14:paraId="2DCDFCA0" w14:textId="27E2DD8F" w:rsidR="002D7E66" w:rsidRPr="005227AC" w:rsidRDefault="002D7E66" w:rsidP="002D7E66">
      <w:pPr>
        <w:spacing w:after="200" w:line="240" w:lineRule="auto"/>
        <w:rPr>
          <w:rFonts w:eastAsia="SimSun"/>
          <w:sz w:val="18"/>
          <w:szCs w:val="18"/>
        </w:rPr>
      </w:pPr>
      <w:r w:rsidRPr="005227AC">
        <w:rPr>
          <w:rFonts w:eastAsia="SimSun"/>
          <w:b/>
          <w:bCs/>
          <w:sz w:val="18"/>
          <w:szCs w:val="18"/>
        </w:rPr>
        <w:t xml:space="preserve">Figure S5: </w:t>
      </w:r>
      <w:r w:rsidRPr="005227AC">
        <w:rPr>
          <w:rFonts w:eastAsia="SimSun"/>
          <w:sz w:val="18"/>
          <w:szCs w:val="18"/>
        </w:rPr>
        <w:t xml:space="preserve">Changes in topsoil fallout concentrations in the bulk topsoil (0-20 cm). The concentrations in cultivated soils are shown relative to those found in adjacent native grassland soils (i.e., 100% at t = 0). The black line (enveloped by grey 68% confidence interval indicated a mono-exponential regression approaching towards a concentration equilibrium level (here: after 25-45 years of cropping). By that time, about 50-60% of the initial </w:t>
      </w:r>
      <w:r w:rsidRPr="005227AC">
        <w:rPr>
          <w:rFonts w:eastAsia="SimSun"/>
          <w:sz w:val="18"/>
          <w:szCs w:val="18"/>
          <w:vertAlign w:val="superscript"/>
        </w:rPr>
        <w:t>239+240</w:t>
      </w:r>
      <w:r w:rsidRPr="005227AC">
        <w:rPr>
          <w:rFonts w:eastAsia="SimSun"/>
          <w:sz w:val="18"/>
          <w:szCs w:val="18"/>
        </w:rPr>
        <w:t>Pu concentration has been lost. The extrapolated post-35 years cropping equilibrium level is indicated by the dashed line. Most plutonium samples depict replicate measurements; the corresponding concentrations are weighted means and the uncertainties either dominated by AMS counting statistics (weighted mean error) or external sources of uncertainty (standard error). For single measurements, the 1σ measurement uncertainty provided by the AMS facilities dominates the final uncertainty. All greyed out data points with dashed error bars denote those samples that were taken from plots with more than 32 years of cultivation history (for discussion see text). Filled circles denote samples from the Harrismith (HS) agroecosystem; filled triangle those from the Kroonstad (KR) agroecosystem and filled diamonds those from the Tweespruit (TW) agroecosystem.</w:t>
      </w:r>
    </w:p>
    <w:p w14:paraId="66C88CD8" w14:textId="778898BA" w:rsidR="002018FD" w:rsidRPr="005227AC" w:rsidRDefault="002018FD" w:rsidP="002018FD"/>
    <w:p w14:paraId="4E582064" w14:textId="62BB123B" w:rsidR="002018FD" w:rsidRDefault="002018FD" w:rsidP="002018FD"/>
    <w:p w14:paraId="3DB748FC" w14:textId="6035F08F" w:rsidR="002018FD" w:rsidRDefault="002018FD" w:rsidP="002018FD"/>
    <w:p w14:paraId="577F06F9" w14:textId="5FA92A52" w:rsidR="002018FD" w:rsidRDefault="00706FF0" w:rsidP="002018FD">
      <w:r>
        <w:rPr>
          <w:noProof/>
        </w:rPr>
        <w:lastRenderedPageBreak/>
        <w:drawing>
          <wp:anchor distT="0" distB="0" distL="114300" distR="114300" simplePos="0" relativeHeight="251662336" behindDoc="0" locked="0" layoutInCell="1" allowOverlap="1" wp14:anchorId="07B3BDD5" wp14:editId="6FD87F9E">
            <wp:simplePos x="0" y="0"/>
            <wp:positionH relativeFrom="page">
              <wp:posOffset>1832610</wp:posOffset>
            </wp:positionH>
            <wp:positionV relativeFrom="paragraph">
              <wp:posOffset>260985</wp:posOffset>
            </wp:positionV>
            <wp:extent cx="4326890" cy="4214495"/>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u_vs_N_clay_silt_40yr.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26890" cy="4214495"/>
                    </a:xfrm>
                    <a:prstGeom prst="rect">
                      <a:avLst/>
                    </a:prstGeom>
                  </pic:spPr>
                </pic:pic>
              </a:graphicData>
            </a:graphic>
            <wp14:sizeRelH relativeFrom="margin">
              <wp14:pctWidth>0</wp14:pctWidth>
            </wp14:sizeRelH>
            <wp14:sizeRelV relativeFrom="margin">
              <wp14:pctHeight>0</wp14:pctHeight>
            </wp14:sizeRelV>
          </wp:anchor>
        </w:drawing>
      </w:r>
    </w:p>
    <w:p w14:paraId="5CA237A9" w14:textId="57B20EC2" w:rsidR="00F5258E" w:rsidRPr="005227AC" w:rsidRDefault="00A578BB" w:rsidP="00A578BB">
      <w:pPr>
        <w:pStyle w:val="Caption"/>
      </w:pPr>
      <w:bookmarkStart w:id="1" w:name="_Hlk174277418"/>
      <w:bookmarkStart w:id="2" w:name="_Hlk121822901"/>
      <w:r w:rsidRPr="005227AC">
        <w:t>Figure S</w:t>
      </w:r>
      <w:r w:rsidR="00706FF0" w:rsidRPr="005227AC">
        <w:t>6</w:t>
      </w:r>
      <w:r w:rsidRPr="005227AC">
        <w:t xml:space="preserve">: </w:t>
      </w:r>
      <w:r w:rsidRPr="005227AC">
        <w:rPr>
          <w:b w:val="0"/>
          <w:bCs w:val="0"/>
        </w:rPr>
        <w:t xml:space="preserve">Linear correlations </w:t>
      </w:r>
      <w:bookmarkEnd w:id="1"/>
      <w:r w:rsidRPr="005227AC">
        <w:rPr>
          <w:b w:val="0"/>
          <w:bCs w:val="0"/>
        </w:rPr>
        <w:t>be</w:t>
      </w:r>
      <w:bookmarkEnd w:id="2"/>
      <w:r w:rsidRPr="005227AC">
        <w:rPr>
          <w:b w:val="0"/>
          <w:bCs w:val="0"/>
        </w:rPr>
        <w:t>tween N contents (</w:t>
      </w:r>
      <w:r w:rsidRPr="005227AC">
        <w:rPr>
          <w:b w:val="0"/>
          <w:bCs w:val="0"/>
        </w:rPr>
        <w:fldChar w:fldCharType="begin"/>
      </w:r>
      <w:r w:rsidR="005227AC" w:rsidRPr="005227AC">
        <w:rPr>
          <w:b w:val="0"/>
          <w:bCs w:val="0"/>
        </w:rPr>
        <w:instrText xml:space="preserve"> ADDIN EN.CITE &lt;EndNote&gt;&lt;Cite&gt;&lt;Author&gt;Lobe&lt;/Author&gt;&lt;Year&gt;2001&lt;/Year&gt;&lt;RecNum&gt;1343&lt;/RecNum&gt;&lt;DisplayText&gt;Lobe et al., 2001&lt;/DisplayText&gt;&lt;record&gt;&lt;rec-number&gt;1343&lt;/rec-number&gt;&lt;foreign-keys&gt;&lt;key app="EN" db-id="fddrdf5eteteeoetrwoptzs8te0drtpxp5xf" timestamp="1683544678" guid="8a2c181b-faba-4be1-b8b9-4a724cfff1df"&gt;1343&lt;/key&gt;&lt;/foreign-keys&gt;&lt;ref-type name="Journal Article"&gt;17&lt;/ref-type&gt;&lt;contributors&gt;&lt;authors&gt;&lt;author&gt;Lobe, I.&lt;/author&gt;&lt;author&gt;Amelung, W.&lt;/author&gt;&lt;author&gt;Du Preez, C. C.&lt;/author&gt;&lt;/authors&gt;&lt;/contributors&gt;&lt;titles&gt;&lt;title&gt;Losses of carbon and nitrogen with prolonged arable cropping from sandy soils of the South African Highveld&lt;/title&gt;&lt;secondary-title&gt;European Journal of Soil Science&lt;/secondary-title&gt;&lt;/titles&gt;&lt;periodical&gt;&lt;full-title&gt;European Journal of Soil Science&lt;/full-title&gt;&lt;/periodical&gt;&lt;pages&gt;93-101&lt;/pages&gt;&lt;volume&gt;52&lt;/volume&gt;&lt;number&gt;1&lt;/number&gt;&lt;dates&gt;&lt;year&gt;2001&lt;/year&gt;&lt;/dates&gt;&lt;isbn&gt;1351-0754&lt;/isbn&gt;&lt;urls&gt;&lt;related-urls&gt;&lt;url&gt;https://onlinelibrary.wiley.com/doi/abs/10.1046/j.1365-2389.2001.t01-1-00362.x&lt;/url&gt;&lt;/related-urls&gt;&lt;/urls&gt;&lt;electronic-resource-num&gt;https://doi.org/10.1046/j.1365-2389.2001.t01-1-00362.x&lt;/electronic-resource-num&gt;&lt;/record&gt;&lt;/Cite&gt;&lt;/EndNote&gt;</w:instrText>
      </w:r>
      <w:r w:rsidRPr="005227AC">
        <w:rPr>
          <w:b w:val="0"/>
          <w:bCs w:val="0"/>
        </w:rPr>
        <w:fldChar w:fldCharType="separate"/>
      </w:r>
      <w:r w:rsidR="00292EF2" w:rsidRPr="005227AC">
        <w:rPr>
          <w:b w:val="0"/>
          <w:bCs w:val="0"/>
          <w:noProof/>
        </w:rPr>
        <w:t>Lobe et al., 2001</w:t>
      </w:r>
      <w:r w:rsidRPr="005227AC">
        <w:rPr>
          <w:b w:val="0"/>
          <w:bCs w:val="0"/>
        </w:rPr>
        <w:fldChar w:fldCharType="end"/>
      </w:r>
      <w:r w:rsidRPr="005227AC">
        <w:rPr>
          <w:b w:val="0"/>
          <w:bCs w:val="0"/>
        </w:rPr>
        <w:t xml:space="preserve">) and </w:t>
      </w:r>
      <w:r w:rsidRPr="005227AC">
        <w:rPr>
          <w:b w:val="0"/>
          <w:bCs w:val="0"/>
          <w:vertAlign w:val="superscript"/>
        </w:rPr>
        <w:t>239+240</w:t>
      </w:r>
      <w:r w:rsidRPr="005227AC">
        <w:rPr>
          <w:b w:val="0"/>
          <w:bCs w:val="0"/>
        </w:rPr>
        <w:t xml:space="preserve">Pu </w:t>
      </w:r>
      <w:r w:rsidR="00673C93" w:rsidRPr="005227AC">
        <w:rPr>
          <w:b w:val="0"/>
          <w:bCs w:val="0"/>
        </w:rPr>
        <w:t xml:space="preserve">concentrations in the </w:t>
      </w:r>
      <w:r w:rsidR="007D10C4" w:rsidRPr="005227AC">
        <w:rPr>
          <w:b w:val="0"/>
          <w:bCs w:val="0"/>
        </w:rPr>
        <w:t xml:space="preserve">bulk </w:t>
      </w:r>
      <w:r w:rsidR="009A71E5" w:rsidRPr="005227AC">
        <w:rPr>
          <w:b w:val="0"/>
          <w:bCs w:val="0"/>
        </w:rPr>
        <w:t>top</w:t>
      </w:r>
      <w:r w:rsidR="007D10C4" w:rsidRPr="005227AC">
        <w:rPr>
          <w:b w:val="0"/>
          <w:bCs w:val="0"/>
        </w:rPr>
        <w:t>soil.</w:t>
      </w:r>
      <w:r w:rsidRPr="005227AC">
        <w:rPr>
          <w:b w:val="0"/>
          <w:bCs w:val="0"/>
        </w:rPr>
        <w:t xml:space="preserve"> Most plutonium samples depict replicate measurements</w:t>
      </w:r>
      <w:bookmarkStart w:id="3" w:name="_Hlk121822820"/>
      <w:r w:rsidR="00673C93" w:rsidRPr="005227AC">
        <w:rPr>
          <w:b w:val="0"/>
          <w:bCs w:val="0"/>
        </w:rPr>
        <w:t>; the corresponding concentrations are weighted means and the uncertainties either dominated by AMS counting statistics (weighted mean error) or external sources of uncertainty (standard error). For single measurements, the 1σ measurement uncertainty provided by the AMS facilities dominates the final uncertainty.</w:t>
      </w:r>
      <w:bookmarkEnd w:id="3"/>
      <w:r w:rsidR="00673C93" w:rsidRPr="005227AC">
        <w:rPr>
          <w:b w:val="0"/>
          <w:bCs w:val="0"/>
        </w:rPr>
        <w:t xml:space="preserve"> </w:t>
      </w:r>
      <w:r w:rsidRPr="005227AC">
        <w:rPr>
          <w:b w:val="0"/>
          <w:bCs w:val="0"/>
        </w:rPr>
        <w:t>(vertical error bars either represent 1σ from the mean of several replicates or a 1σ error-propagated uncertainty dominated by the AMS measurement uncertainty). Samples from sites that have been cropped before 19</w:t>
      </w:r>
      <w:r w:rsidR="00673C93" w:rsidRPr="005227AC">
        <w:rPr>
          <w:b w:val="0"/>
          <w:bCs w:val="0"/>
        </w:rPr>
        <w:t>63</w:t>
      </w:r>
      <w:r w:rsidRPr="005227AC">
        <w:rPr>
          <w:b w:val="0"/>
          <w:bCs w:val="0"/>
        </w:rPr>
        <w:t xml:space="preserve"> were excluded from the regression (greyed out data points).</w:t>
      </w:r>
    </w:p>
    <w:p w14:paraId="79B6EDB9" w14:textId="2DF3C76E" w:rsidR="00A578BB" w:rsidRDefault="00A578BB" w:rsidP="003D5288"/>
    <w:p w14:paraId="0449F01B" w14:textId="735F772F" w:rsidR="00A578BB" w:rsidRDefault="00A578BB" w:rsidP="003D5288"/>
    <w:p w14:paraId="4B520615" w14:textId="30B8F05D" w:rsidR="00A578BB" w:rsidRDefault="00A578BB" w:rsidP="003D5288"/>
    <w:p w14:paraId="5C4E6F47" w14:textId="1B046157" w:rsidR="00A578BB" w:rsidRDefault="00A578BB" w:rsidP="003D5288"/>
    <w:p w14:paraId="6EEF8B51" w14:textId="482380A7" w:rsidR="00A578BB" w:rsidRDefault="00A578BB" w:rsidP="003D5288"/>
    <w:p w14:paraId="150B720B" w14:textId="3B072344" w:rsidR="00A578BB" w:rsidRDefault="00A578BB" w:rsidP="003D5288"/>
    <w:p w14:paraId="69DF575A" w14:textId="65FCE396" w:rsidR="00A578BB" w:rsidRDefault="00A578BB" w:rsidP="003D5288"/>
    <w:p w14:paraId="74599BC1" w14:textId="2F8869D1" w:rsidR="00A578BB" w:rsidRDefault="00673C93" w:rsidP="003D5288">
      <w:r>
        <w:rPr>
          <w:noProof/>
        </w:rPr>
        <w:lastRenderedPageBreak/>
        <w:drawing>
          <wp:anchor distT="0" distB="0" distL="114300" distR="114300" simplePos="0" relativeHeight="251660288" behindDoc="0" locked="0" layoutInCell="1" allowOverlap="1" wp14:anchorId="32407C65" wp14:editId="054C2F34">
            <wp:simplePos x="0" y="0"/>
            <wp:positionH relativeFrom="page">
              <wp:posOffset>1908175</wp:posOffset>
            </wp:positionH>
            <wp:positionV relativeFrom="paragraph">
              <wp:posOffset>93345</wp:posOffset>
            </wp:positionV>
            <wp:extent cx="4147820" cy="4133215"/>
            <wp:effectExtent l="0" t="0" r="5080" b="63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ll.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147820" cy="4133215"/>
                    </a:xfrm>
                    <a:prstGeom prst="rect">
                      <a:avLst/>
                    </a:prstGeom>
                  </pic:spPr>
                </pic:pic>
              </a:graphicData>
            </a:graphic>
            <wp14:sizeRelH relativeFrom="margin">
              <wp14:pctWidth>0</wp14:pctWidth>
            </wp14:sizeRelH>
            <wp14:sizeRelV relativeFrom="margin">
              <wp14:pctHeight>0</wp14:pctHeight>
            </wp14:sizeRelV>
          </wp:anchor>
        </w:drawing>
      </w:r>
    </w:p>
    <w:p w14:paraId="2D548523" w14:textId="55A1822C" w:rsidR="00673C93" w:rsidRPr="005227AC" w:rsidRDefault="00673C93" w:rsidP="00673C93">
      <w:pPr>
        <w:pStyle w:val="Caption"/>
      </w:pPr>
      <w:bookmarkStart w:id="4" w:name="_Hlk174182484"/>
      <w:r w:rsidRPr="005227AC">
        <w:rPr>
          <w:b w:val="0"/>
          <w:bCs w:val="0"/>
          <w:sz w:val="20"/>
          <w:szCs w:val="24"/>
        </w:rPr>
        <w:t>F</w:t>
      </w:r>
      <w:r w:rsidRPr="005227AC">
        <w:t>igure S</w:t>
      </w:r>
      <w:r w:rsidR="00706FF0" w:rsidRPr="005227AC">
        <w:t>7</w:t>
      </w:r>
      <w:r w:rsidRPr="005227AC">
        <w:t xml:space="preserve">: </w:t>
      </w:r>
      <w:r w:rsidR="0042496D" w:rsidRPr="005227AC">
        <w:rPr>
          <w:b w:val="0"/>
          <w:bCs w:val="0"/>
        </w:rPr>
        <w:t>Silt fraction as</w:t>
      </w:r>
      <w:r w:rsidRPr="005227AC">
        <w:rPr>
          <w:b w:val="0"/>
          <w:bCs w:val="0"/>
        </w:rPr>
        <w:t xml:space="preserve"> measured by </w:t>
      </w:r>
      <w:r w:rsidRPr="005227AC">
        <w:rPr>
          <w:b w:val="0"/>
          <w:bCs w:val="0"/>
        </w:rPr>
        <w:fldChar w:fldCharType="begin"/>
      </w:r>
      <w:r w:rsidR="005227AC" w:rsidRPr="005227AC">
        <w:rPr>
          <w:b w:val="0"/>
          <w:bCs w:val="0"/>
        </w:rPr>
        <w:instrText xml:space="preserve"> ADDIN EN.CITE &lt;EndNote&gt;&lt;Cite AuthorYear="1"&gt;&lt;Author&gt;Lobe&lt;/Author&gt;&lt;Year&gt;2001&lt;/Year&gt;&lt;RecNum&gt;1343&lt;/RecNum&gt;&lt;DisplayText&gt;Lobe et al. (2001)&lt;/DisplayText&gt;&lt;record&gt;&lt;rec-number&gt;1343&lt;/rec-number&gt;&lt;foreign-keys&gt;&lt;key app="EN" db-id="fddrdf5eteteeoetrwoptzs8te0drtpxp5xf" timestamp="1683544678" guid="8a2c181b-faba-4be1-b8b9-4a724cfff1df"&gt;1343&lt;/key&gt;&lt;/foreign-keys&gt;&lt;ref-type name="Journal Article"&gt;17&lt;/ref-type&gt;&lt;contributors&gt;&lt;authors&gt;&lt;author&gt;Lobe, I.&lt;/author&gt;&lt;author&gt;Amelung, W.&lt;/author&gt;&lt;author&gt;Du Preez, C. C.&lt;/author&gt;&lt;/authors&gt;&lt;/contributors&gt;&lt;titles&gt;&lt;title&gt;Losses of carbon and nitrogen with prolonged arable cropping from sandy soils of the South African Highveld&lt;/title&gt;&lt;secondary-title&gt;European Journal of Soil Science&lt;/secondary-title&gt;&lt;/titles&gt;&lt;periodical&gt;&lt;full-title&gt;European Journal of Soil Science&lt;/full-title&gt;&lt;/periodical&gt;&lt;pages&gt;93-101&lt;/pages&gt;&lt;volume&gt;52&lt;/volume&gt;&lt;number&gt;1&lt;/number&gt;&lt;dates&gt;&lt;year&gt;2001&lt;/year&gt;&lt;/dates&gt;&lt;isbn&gt;1351-0754&lt;/isbn&gt;&lt;urls&gt;&lt;related-urls&gt;&lt;url&gt;https://onlinelibrary.wiley.com/doi/abs/10.1046/j.1365-2389.2001.t01-1-00362.x&lt;/url&gt;&lt;/related-urls&gt;&lt;/urls&gt;&lt;electronic-resource-num&gt;https://doi.org/10.1046/j.1365-2389.2001.t01-1-00362.x&lt;/electronic-resource-num&gt;&lt;/record&gt;&lt;/Cite&gt;&lt;/EndNote&gt;</w:instrText>
      </w:r>
      <w:r w:rsidRPr="005227AC">
        <w:rPr>
          <w:b w:val="0"/>
          <w:bCs w:val="0"/>
        </w:rPr>
        <w:fldChar w:fldCharType="separate"/>
      </w:r>
      <w:r w:rsidRPr="005227AC">
        <w:rPr>
          <w:b w:val="0"/>
          <w:bCs w:val="0"/>
          <w:noProof/>
        </w:rPr>
        <w:t>Lobe et al. (2001)</w:t>
      </w:r>
      <w:r w:rsidRPr="005227AC">
        <w:rPr>
          <w:b w:val="0"/>
          <w:bCs w:val="0"/>
        </w:rPr>
        <w:fldChar w:fldCharType="end"/>
      </w:r>
      <w:r w:rsidRPr="005227AC">
        <w:rPr>
          <w:b w:val="0"/>
          <w:bCs w:val="0"/>
        </w:rPr>
        <w:t xml:space="preserve"> and </w:t>
      </w:r>
      <w:r w:rsidRPr="005227AC">
        <w:rPr>
          <w:b w:val="0"/>
          <w:bCs w:val="0"/>
        </w:rPr>
        <w:fldChar w:fldCharType="begin"/>
      </w:r>
      <w:r w:rsidR="005227AC" w:rsidRPr="005227AC">
        <w:rPr>
          <w:b w:val="0"/>
          <w:bCs w:val="0"/>
        </w:rPr>
        <w:instrText xml:space="preserve"> ADDIN EN.CITE &lt;EndNote&gt;&lt;Cite AuthorYear="1"&gt;&lt;Author&gt;Amelung&lt;/Author&gt;&lt;Year&gt;2002&lt;/Year&gt;&lt;RecNum&gt;1344&lt;/RecNum&gt;&lt;DisplayText&gt;Amelung et al. (2002)&lt;/DisplayText&gt;&lt;record&gt;&lt;rec-number&gt;1344&lt;/rec-number&gt;&lt;foreign-keys&gt;&lt;key app="EN" db-id="fddrdf5eteteeoetrwoptzs8te0drtpxp5xf" timestamp="1683544678" guid="000551e1-d159-4d8b-9fdf-d2154e2f4fd6"&gt;1344&lt;/key&gt;&lt;/foreign-keys&gt;&lt;ref-type name="Journal Article"&gt;17&lt;/ref-type&gt;&lt;contributors&gt;&lt;authors&gt;&lt;author&gt;Amelung, W.&lt;/author&gt;&lt;author&gt;Lobe, I.&lt;/author&gt;&lt;author&gt;Du Preez, C. C.&lt;/author&gt;&lt;/authors&gt;&lt;/contributors&gt;&lt;titles&gt;&lt;title&gt;Fate of microbial residues in sandy soils of the South African Highveld as influenced by prolonged arable cropping&lt;/title&gt;&lt;secondary-title&gt;European Journal of Soil Science&lt;/secondary-title&gt;&lt;/titles&gt;&lt;periodical&gt;&lt;full-title&gt;European Journal of Soil Science&lt;/full-title&gt;&lt;/periodical&gt;&lt;pages&gt;29-35&lt;/pages&gt;&lt;volume&gt;53&lt;/volume&gt;&lt;number&gt;1&lt;/number&gt;&lt;dates&gt;&lt;year&gt;2002&lt;/year&gt;&lt;/dates&gt;&lt;isbn&gt;1351-0754&lt;/isbn&gt;&lt;urls&gt;&lt;related-urls&gt;&lt;url&gt;https://onlinelibrary.wiley.com/doi/abs/10.1046/j.1365-2389.2002.00428.x&lt;/url&gt;&lt;/related-urls&gt;&lt;/urls&gt;&lt;electronic-resource-num&gt;https://doi.org/10.1046/j.1365-2389.2002.00428.x&lt;/electronic-resource-num&gt;&lt;/record&gt;&lt;/Cite&gt;&lt;/EndNote&gt;</w:instrText>
      </w:r>
      <w:r w:rsidRPr="005227AC">
        <w:rPr>
          <w:b w:val="0"/>
          <w:bCs w:val="0"/>
        </w:rPr>
        <w:fldChar w:fldCharType="separate"/>
      </w:r>
      <w:r w:rsidRPr="005227AC">
        <w:rPr>
          <w:b w:val="0"/>
          <w:bCs w:val="0"/>
          <w:noProof/>
        </w:rPr>
        <w:t>Amelung et al. (2002)</w:t>
      </w:r>
      <w:r w:rsidRPr="005227AC">
        <w:rPr>
          <w:b w:val="0"/>
          <w:bCs w:val="0"/>
        </w:rPr>
        <w:fldChar w:fldCharType="end"/>
      </w:r>
      <w:r w:rsidRPr="005227AC">
        <w:rPr>
          <w:b w:val="0"/>
          <w:bCs w:val="0"/>
        </w:rPr>
        <w:t>. Uncertainties are 1σ standard deviations of the arithmetic means (</w:t>
      </w:r>
      <w:r w:rsidRPr="005227AC">
        <w:rPr>
          <w:b w:val="0"/>
          <w:bCs w:val="0"/>
          <w:i/>
        </w:rPr>
        <w:t>n</w:t>
      </w:r>
      <w:r w:rsidRPr="005227AC">
        <w:rPr>
          <w:b w:val="0"/>
          <w:bCs w:val="0"/>
        </w:rPr>
        <w:t xml:space="preserve"> </w:t>
      </w:r>
      <w:r w:rsidRPr="005227AC">
        <w:rPr>
          <w:b w:val="0"/>
          <w:bCs w:val="0"/>
          <w:u w:val="single"/>
        </w:rPr>
        <w:t>&gt;</w:t>
      </w:r>
      <w:r w:rsidRPr="005227AC">
        <w:rPr>
          <w:b w:val="0"/>
          <w:bCs w:val="0"/>
        </w:rPr>
        <w:t>2 replicates per sample).</w:t>
      </w:r>
    </w:p>
    <w:bookmarkEnd w:id="4"/>
    <w:p w14:paraId="5AEA7C15" w14:textId="1B5BE7EE" w:rsidR="00A578BB" w:rsidRDefault="00A578BB" w:rsidP="003D5288"/>
    <w:p w14:paraId="6F847A11" w14:textId="36873BFE" w:rsidR="00A578BB" w:rsidRDefault="00A578BB" w:rsidP="003D5288"/>
    <w:p w14:paraId="449C061F" w14:textId="24545B2A" w:rsidR="00A578BB" w:rsidRDefault="00A578BB" w:rsidP="003D5288"/>
    <w:p w14:paraId="533A159A" w14:textId="30B29001" w:rsidR="00673C93" w:rsidRDefault="00673C93" w:rsidP="003D5288"/>
    <w:p w14:paraId="4D4B45B6" w14:textId="2C770103" w:rsidR="00673C93" w:rsidRDefault="00673C93" w:rsidP="003D5288"/>
    <w:p w14:paraId="6C6E903A" w14:textId="5A66CE51" w:rsidR="00673C93" w:rsidRDefault="00673C93" w:rsidP="003D5288"/>
    <w:p w14:paraId="3505E792" w14:textId="3B2C62E1" w:rsidR="00673C93" w:rsidRDefault="00673C93" w:rsidP="003D5288"/>
    <w:p w14:paraId="30DA224A" w14:textId="7E80DC58" w:rsidR="00673C93" w:rsidRDefault="00673C93" w:rsidP="003D5288"/>
    <w:p w14:paraId="30921CC6" w14:textId="77777777" w:rsidR="00673C93" w:rsidRDefault="00673C93" w:rsidP="003D5288"/>
    <w:p w14:paraId="426DE43A" w14:textId="747242C4" w:rsidR="004C5838" w:rsidRDefault="004C5838" w:rsidP="003D5288"/>
    <w:p w14:paraId="14F72087" w14:textId="15F64B34" w:rsidR="004C5838" w:rsidRDefault="005227AC" w:rsidP="004C5838">
      <w:pPr>
        <w:pStyle w:val="Heading1"/>
      </w:pPr>
      <w:r>
        <w:lastRenderedPageBreak/>
        <w:t>S</w:t>
      </w:r>
      <w:r w:rsidR="00E12AF0">
        <w:t>2</w:t>
      </w:r>
      <w:r w:rsidR="004C5838">
        <w:t xml:space="preserve"> Supplementary tables</w:t>
      </w:r>
    </w:p>
    <w:p w14:paraId="411CD275" w14:textId="67AB2174" w:rsidR="0027673B" w:rsidRPr="005227AC" w:rsidRDefault="005227AC" w:rsidP="003D5288">
      <w:r>
        <w:t>The supplementary tables S1 to S6 are presented in a separate .xlsx file.</w:t>
      </w:r>
    </w:p>
    <w:p w14:paraId="59F52022" w14:textId="77777777" w:rsidR="005227AC" w:rsidRDefault="005227AC" w:rsidP="003D5288"/>
    <w:p w14:paraId="1280ED67" w14:textId="64405D1E" w:rsidR="00A578BB" w:rsidRDefault="004C5838" w:rsidP="004C5838">
      <w:pPr>
        <w:pStyle w:val="Heading1"/>
      </w:pPr>
      <w:r>
        <w:t>References</w:t>
      </w:r>
    </w:p>
    <w:p w14:paraId="0FD8A92D" w14:textId="206C604B" w:rsidR="005227AC" w:rsidRPr="005227AC" w:rsidRDefault="00A578BB" w:rsidP="005227AC">
      <w:pPr>
        <w:pStyle w:val="EndNoteBibliography"/>
      </w:pPr>
      <w:r>
        <w:fldChar w:fldCharType="begin"/>
      </w:r>
      <w:r w:rsidRPr="00DB34D1">
        <w:rPr>
          <w:lang w:val="en-GB"/>
        </w:rPr>
        <w:instrText xml:space="preserve"> ADDIN EN.REFLIST </w:instrText>
      </w:r>
      <w:r>
        <w:fldChar w:fldCharType="separate"/>
      </w:r>
      <w:r w:rsidR="005227AC" w:rsidRPr="005227AC">
        <w:t xml:space="preserve">Amelung, W., Lobe, I., and Du Preez, C. C.: Fate of microbial residues in sandy soils of the South African Highveld as influenced by prolonged arable cropping, European Journal of Soil Science, 53, 29-35, </w:t>
      </w:r>
      <w:hyperlink r:id="rId15" w:history="1">
        <w:r w:rsidR="005227AC" w:rsidRPr="005227AC">
          <w:rPr>
            <w:rStyle w:val="Hyperlink"/>
          </w:rPr>
          <w:t>https://doi.org/10.1046/j.1365-2389.2002.00428.x</w:t>
        </w:r>
      </w:hyperlink>
      <w:r w:rsidR="005227AC" w:rsidRPr="005227AC">
        <w:t>, 2002.</w:t>
      </w:r>
    </w:p>
    <w:p w14:paraId="5284FB92" w14:textId="77777777" w:rsidR="005227AC" w:rsidRPr="005227AC" w:rsidRDefault="005227AC" w:rsidP="005227AC">
      <w:pPr>
        <w:pStyle w:val="EndNoteBibliography"/>
      </w:pPr>
      <w:r w:rsidRPr="005227AC">
        <w:t>Boulyga, S. F. and Becker, J. S.: Isotopic analysis of uranium and plutonium using ICP-MS and estimation of burn-up of spent uranium in contaminated environmental samples, Journal of Analytical Atomic Spectrometry, 17, 1143-1147, 2002.</w:t>
      </w:r>
    </w:p>
    <w:p w14:paraId="60AA9276" w14:textId="544FFAB7" w:rsidR="005227AC" w:rsidRPr="005227AC" w:rsidRDefault="005227AC" w:rsidP="005227AC">
      <w:pPr>
        <w:pStyle w:val="EndNoteBibliography"/>
      </w:pPr>
      <w:r w:rsidRPr="005227AC">
        <w:t xml:space="preserve">Kelley, J. M., Bond, L. A., and Beasley, T. M.: Global distribution of Pu isotopes and 237Np, Science of The Total Environment, 237-238, 483-500, </w:t>
      </w:r>
      <w:hyperlink r:id="rId16" w:history="1">
        <w:r w:rsidRPr="005227AC">
          <w:rPr>
            <w:rStyle w:val="Hyperlink"/>
          </w:rPr>
          <w:t>https://doi.org/10.1016/S0048-9697(99)00160-6</w:t>
        </w:r>
      </w:hyperlink>
      <w:r w:rsidRPr="005227AC">
        <w:t>, 1999.</w:t>
      </w:r>
    </w:p>
    <w:p w14:paraId="51E3DB90" w14:textId="77777777" w:rsidR="005227AC" w:rsidRPr="005227AC" w:rsidRDefault="005227AC" w:rsidP="005227AC">
      <w:pPr>
        <w:pStyle w:val="EndNoteBibliography"/>
      </w:pPr>
      <w:r w:rsidRPr="005227AC">
        <w:t xml:space="preserve">Krey, P., Hardy, E., Pachucki, C., Rourke, F., Coluzza, J., and Benson, W.: Mass isotopic composition of global fall-out plutonium in soil, Proceedings Series-International Atomic Energy Agency (IAEA), </w:t>
      </w:r>
    </w:p>
    <w:p w14:paraId="61511A45" w14:textId="6784FCC2" w:rsidR="005227AC" w:rsidRPr="005227AC" w:rsidRDefault="005227AC" w:rsidP="005227AC">
      <w:pPr>
        <w:pStyle w:val="EndNoteBibliography"/>
      </w:pPr>
      <w:r w:rsidRPr="005227AC">
        <w:t xml:space="preserve">Lobe, I., Amelung, W., and Du Preez, C. C.: Losses of carbon and nitrogen with prolonged arable cropping from sandy soils of the South African Highveld, European Journal of Soil Science, 52, 93-101, </w:t>
      </w:r>
      <w:hyperlink r:id="rId17" w:history="1">
        <w:r w:rsidRPr="005227AC">
          <w:rPr>
            <w:rStyle w:val="Hyperlink"/>
          </w:rPr>
          <w:t>https://doi.org/10.1046/j.1365-2389.2001.t01-1-00362.x</w:t>
        </w:r>
      </w:hyperlink>
      <w:r w:rsidRPr="005227AC">
        <w:t>, 2001.</w:t>
      </w:r>
    </w:p>
    <w:p w14:paraId="3AD6DDBF" w14:textId="77777777" w:rsidR="005227AC" w:rsidRPr="005227AC" w:rsidRDefault="005227AC" w:rsidP="005227AC">
      <w:pPr>
        <w:pStyle w:val="EndNoteBibliography"/>
      </w:pPr>
      <w:r w:rsidRPr="005227AC">
        <w:t>Zheng, J., Tagami, K., Watanabe, Y., Uchida, S., Aono, T., Ishii, N., Yoshida, S., Kubota, Y., Fuma, S., and Ihara, S.: Isotopic evidence of plutonium release into the environment from the Fukushima DNPP accident, Scientific Reports, 2, 304, 10.1038/srep00304, 2012.</w:t>
      </w:r>
    </w:p>
    <w:p w14:paraId="2E2F22B5" w14:textId="135EE729" w:rsidR="003A4FB4" w:rsidRDefault="00A578BB" w:rsidP="003A4FB4">
      <w:pPr>
        <w:pStyle w:val="Caption"/>
      </w:pPr>
      <w:r>
        <w:fldChar w:fldCharType="end"/>
      </w:r>
    </w:p>
    <w:sectPr w:rsidR="003A4FB4" w:rsidSect="00F512A5">
      <w:footerReference w:type="default" r:id="rId18"/>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E59156" w14:textId="77777777" w:rsidR="000A0336" w:rsidRDefault="000A0336" w:rsidP="006D0C96">
      <w:pPr>
        <w:spacing w:line="240" w:lineRule="auto"/>
      </w:pPr>
      <w:r>
        <w:separator/>
      </w:r>
    </w:p>
  </w:endnote>
  <w:endnote w:type="continuationSeparator" w:id="0">
    <w:p w14:paraId="08C99011" w14:textId="77777777" w:rsidR="000A0336" w:rsidRDefault="000A0336"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7788171"/>
      <w:docPartObj>
        <w:docPartGallery w:val="Page Numbers (Bottom of Page)"/>
        <w:docPartUnique/>
      </w:docPartObj>
    </w:sdtPr>
    <w:sdtEndPr>
      <w:rPr>
        <w:noProof/>
      </w:rPr>
    </w:sdtEndPr>
    <w:sdtContent>
      <w:p w14:paraId="5576ABD1" w14:textId="77777777" w:rsidR="00F64EBA" w:rsidRDefault="00F64EBA">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4AA5123" w14:textId="77777777" w:rsidR="00F64EBA" w:rsidRDefault="00F64E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04F489" w14:textId="77777777" w:rsidR="000A0336" w:rsidRDefault="000A0336" w:rsidP="006D0C96">
      <w:pPr>
        <w:spacing w:line="240" w:lineRule="auto"/>
      </w:pPr>
      <w:r>
        <w:separator/>
      </w:r>
    </w:p>
  </w:footnote>
  <w:footnote w:type="continuationSeparator" w:id="0">
    <w:p w14:paraId="3EF94913" w14:textId="77777777" w:rsidR="000A0336" w:rsidRDefault="000A0336"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Copernicus Publications Copy&lt;/Style&gt;&lt;LeftDelim&gt;{&lt;/LeftDelim&gt;&lt;RightDelim&gt;}&lt;/RightDelim&gt;&lt;FontName&gt;Times New Roman&lt;/FontName&gt;&lt;FontSize&gt;9&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ddrdf5eteteeoetrwoptzs8te0drtpxp5xf&quot;&gt;Shared_Literature_Sciebo_240626&lt;record-ids&gt;&lt;item&gt;1343&lt;/item&gt;&lt;item&gt;1344&lt;/item&gt;&lt;item&gt;1385&lt;/item&gt;&lt;item&gt;1386&lt;/item&gt;&lt;item&gt;1387&lt;/item&gt;&lt;item&gt;1388&lt;/item&gt;&lt;/record-ids&gt;&lt;/item&gt;&lt;/Libraries&gt;"/>
    <w:docVar w:name="EN.UseJSCitationFormat" w:val="False"/>
  </w:docVars>
  <w:rsids>
    <w:rsidRoot w:val="00564213"/>
    <w:rsid w:val="00004C58"/>
    <w:rsid w:val="00041A84"/>
    <w:rsid w:val="0005690A"/>
    <w:rsid w:val="00075F28"/>
    <w:rsid w:val="000A0336"/>
    <w:rsid w:val="000A1B66"/>
    <w:rsid w:val="000C3A9F"/>
    <w:rsid w:val="001305FE"/>
    <w:rsid w:val="00130B7E"/>
    <w:rsid w:val="00146850"/>
    <w:rsid w:val="001C062B"/>
    <w:rsid w:val="001C5EB9"/>
    <w:rsid w:val="002018FD"/>
    <w:rsid w:val="00203F92"/>
    <w:rsid w:val="002048CB"/>
    <w:rsid w:val="00230F0D"/>
    <w:rsid w:val="0027673B"/>
    <w:rsid w:val="00286F53"/>
    <w:rsid w:val="00292EF2"/>
    <w:rsid w:val="002B1D07"/>
    <w:rsid w:val="002D7E66"/>
    <w:rsid w:val="002D7ECA"/>
    <w:rsid w:val="003118C8"/>
    <w:rsid w:val="003867CA"/>
    <w:rsid w:val="003A4FB4"/>
    <w:rsid w:val="003B701C"/>
    <w:rsid w:val="003D5288"/>
    <w:rsid w:val="00406320"/>
    <w:rsid w:val="0042496D"/>
    <w:rsid w:val="00430F12"/>
    <w:rsid w:val="00445842"/>
    <w:rsid w:val="00450DB9"/>
    <w:rsid w:val="00463568"/>
    <w:rsid w:val="00473E41"/>
    <w:rsid w:val="004C5838"/>
    <w:rsid w:val="004D0F1A"/>
    <w:rsid w:val="005227AC"/>
    <w:rsid w:val="00531E55"/>
    <w:rsid w:val="00542A82"/>
    <w:rsid w:val="0055217B"/>
    <w:rsid w:val="00564213"/>
    <w:rsid w:val="005856C2"/>
    <w:rsid w:val="005A4F32"/>
    <w:rsid w:val="005C4D17"/>
    <w:rsid w:val="005E596A"/>
    <w:rsid w:val="006326D7"/>
    <w:rsid w:val="00642E35"/>
    <w:rsid w:val="0065158D"/>
    <w:rsid w:val="00670F05"/>
    <w:rsid w:val="00673C93"/>
    <w:rsid w:val="006D0C96"/>
    <w:rsid w:val="0070537F"/>
    <w:rsid w:val="00706FF0"/>
    <w:rsid w:val="00733CBB"/>
    <w:rsid w:val="00734A70"/>
    <w:rsid w:val="00737ACB"/>
    <w:rsid w:val="00747DE9"/>
    <w:rsid w:val="00751A44"/>
    <w:rsid w:val="00796A7F"/>
    <w:rsid w:val="007B122B"/>
    <w:rsid w:val="007D10C4"/>
    <w:rsid w:val="0083741F"/>
    <w:rsid w:val="00855006"/>
    <w:rsid w:val="008B719F"/>
    <w:rsid w:val="008E213F"/>
    <w:rsid w:val="008E3110"/>
    <w:rsid w:val="008F7AB9"/>
    <w:rsid w:val="00911808"/>
    <w:rsid w:val="009150E4"/>
    <w:rsid w:val="0091791F"/>
    <w:rsid w:val="00932F15"/>
    <w:rsid w:val="00943440"/>
    <w:rsid w:val="009A71E5"/>
    <w:rsid w:val="009D38E2"/>
    <w:rsid w:val="009F2C0A"/>
    <w:rsid w:val="00A17EED"/>
    <w:rsid w:val="00A47B6A"/>
    <w:rsid w:val="00A578BB"/>
    <w:rsid w:val="00A73E2F"/>
    <w:rsid w:val="00AE4157"/>
    <w:rsid w:val="00AF2350"/>
    <w:rsid w:val="00AF5408"/>
    <w:rsid w:val="00B07FF9"/>
    <w:rsid w:val="00B4015F"/>
    <w:rsid w:val="00B500E4"/>
    <w:rsid w:val="00B5719D"/>
    <w:rsid w:val="00B62878"/>
    <w:rsid w:val="00B75342"/>
    <w:rsid w:val="00B94A58"/>
    <w:rsid w:val="00BD0523"/>
    <w:rsid w:val="00C1589F"/>
    <w:rsid w:val="00C26311"/>
    <w:rsid w:val="00C35812"/>
    <w:rsid w:val="00C82F79"/>
    <w:rsid w:val="00CC22AD"/>
    <w:rsid w:val="00CC51D0"/>
    <w:rsid w:val="00CD59BA"/>
    <w:rsid w:val="00CF2616"/>
    <w:rsid w:val="00D40CE0"/>
    <w:rsid w:val="00D56C3D"/>
    <w:rsid w:val="00D73487"/>
    <w:rsid w:val="00DB34D1"/>
    <w:rsid w:val="00DB4E53"/>
    <w:rsid w:val="00DC2DE3"/>
    <w:rsid w:val="00DD61AA"/>
    <w:rsid w:val="00E00253"/>
    <w:rsid w:val="00E00339"/>
    <w:rsid w:val="00E12AF0"/>
    <w:rsid w:val="00E142A8"/>
    <w:rsid w:val="00E861A5"/>
    <w:rsid w:val="00ED2EB1"/>
    <w:rsid w:val="00ED6B96"/>
    <w:rsid w:val="00EE58C0"/>
    <w:rsid w:val="00F0465C"/>
    <w:rsid w:val="00F35903"/>
    <w:rsid w:val="00F512A5"/>
    <w:rsid w:val="00F5258E"/>
    <w:rsid w:val="00F555BF"/>
    <w:rsid w:val="00F56644"/>
    <w:rsid w:val="00F64C9C"/>
    <w:rsid w:val="00F64EBA"/>
    <w:rsid w:val="00FE5C49"/>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paragraph" w:styleId="CommentText">
    <w:name w:val="annotation text"/>
    <w:basedOn w:val="Normal"/>
    <w:link w:val="CommentTextChar"/>
    <w:semiHidden/>
    <w:unhideWhenUsed/>
    <w:rsid w:val="00A578BB"/>
    <w:pPr>
      <w:spacing w:line="240" w:lineRule="auto"/>
      <w:jc w:val="left"/>
    </w:pPr>
    <w:rPr>
      <w:szCs w:val="20"/>
      <w:lang w:val="en-US" w:eastAsia="en-US"/>
    </w:rPr>
  </w:style>
  <w:style w:type="character" w:customStyle="1" w:styleId="CommentTextChar">
    <w:name w:val="Comment Text Char"/>
    <w:basedOn w:val="DefaultParagraphFont"/>
    <w:link w:val="CommentText"/>
    <w:semiHidden/>
    <w:rsid w:val="00A578BB"/>
    <w:rPr>
      <w:rFonts w:ascii="Times New Roman" w:eastAsia="Times New Roman" w:hAnsi="Times New Roman"/>
      <w:lang w:val="en-US" w:eastAsia="en-US"/>
    </w:rPr>
  </w:style>
  <w:style w:type="paragraph" w:customStyle="1" w:styleId="Teaser">
    <w:name w:val="Teaser"/>
    <w:basedOn w:val="Normal"/>
    <w:rsid w:val="00A578BB"/>
    <w:pPr>
      <w:spacing w:before="120" w:line="240" w:lineRule="auto"/>
      <w:jc w:val="left"/>
    </w:pPr>
    <w:rPr>
      <w:sz w:val="24"/>
      <w:lang w:val="en-US" w:eastAsia="en-US"/>
    </w:rPr>
  </w:style>
  <w:style w:type="character" w:styleId="CommentReference">
    <w:name w:val="annotation reference"/>
    <w:unhideWhenUsed/>
    <w:rsid w:val="00A578BB"/>
    <w:rPr>
      <w:sz w:val="18"/>
      <w:szCs w:val="18"/>
    </w:rPr>
  </w:style>
  <w:style w:type="paragraph" w:customStyle="1" w:styleId="EndNoteBibliographyTitle">
    <w:name w:val="EndNote Bibliography Title"/>
    <w:basedOn w:val="Normal"/>
    <w:link w:val="EndNoteBibliographyTitleChar"/>
    <w:rsid w:val="00A578BB"/>
    <w:pPr>
      <w:jc w:val="center"/>
    </w:pPr>
    <w:rPr>
      <w:noProof/>
      <w:sz w:val="18"/>
      <w:lang w:val="de-DE"/>
    </w:rPr>
  </w:style>
  <w:style w:type="character" w:customStyle="1" w:styleId="EndNoteBibliographyTitleChar">
    <w:name w:val="EndNote Bibliography Title Char"/>
    <w:basedOn w:val="DefaultParagraphFont"/>
    <w:link w:val="EndNoteBibliographyTitle"/>
    <w:rsid w:val="00A578BB"/>
    <w:rPr>
      <w:rFonts w:ascii="Times New Roman" w:eastAsia="Times New Roman" w:hAnsi="Times New Roman"/>
      <w:noProof/>
      <w:sz w:val="18"/>
      <w:szCs w:val="24"/>
      <w:lang w:val="de-DE" w:eastAsia="de-DE"/>
    </w:rPr>
  </w:style>
  <w:style w:type="paragraph" w:customStyle="1" w:styleId="EndNoteBibliography">
    <w:name w:val="EndNote Bibliography"/>
    <w:basedOn w:val="Normal"/>
    <w:link w:val="EndNoteBibliographyChar"/>
    <w:rsid w:val="00A578BB"/>
    <w:pPr>
      <w:spacing w:line="240" w:lineRule="auto"/>
    </w:pPr>
    <w:rPr>
      <w:noProof/>
      <w:sz w:val="18"/>
      <w:lang w:val="de-DE"/>
    </w:rPr>
  </w:style>
  <w:style w:type="character" w:customStyle="1" w:styleId="EndNoteBibliographyChar">
    <w:name w:val="EndNote Bibliography Char"/>
    <w:basedOn w:val="DefaultParagraphFont"/>
    <w:link w:val="EndNoteBibliography"/>
    <w:rsid w:val="00A578BB"/>
    <w:rPr>
      <w:rFonts w:ascii="Times New Roman" w:eastAsia="Times New Roman" w:hAnsi="Times New Roman"/>
      <w:noProof/>
      <w:sz w:val="18"/>
      <w:szCs w:val="24"/>
      <w:lang w:val="de-DE" w:eastAsia="de-DE"/>
    </w:rPr>
  </w:style>
  <w:style w:type="character" w:styleId="UnresolvedMention">
    <w:name w:val="Unresolved Mention"/>
    <w:basedOn w:val="DefaultParagraphFont"/>
    <w:uiPriority w:val="99"/>
    <w:semiHidden/>
    <w:unhideWhenUsed/>
    <w:rsid w:val="00673C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5212">
      <w:bodyDiv w:val="1"/>
      <w:marLeft w:val="0"/>
      <w:marRight w:val="0"/>
      <w:marTop w:val="0"/>
      <w:marBottom w:val="0"/>
      <w:divBdr>
        <w:top w:val="none" w:sz="0" w:space="0" w:color="auto"/>
        <w:left w:val="none" w:sz="0" w:space="0" w:color="auto"/>
        <w:bottom w:val="none" w:sz="0" w:space="0" w:color="auto"/>
        <w:right w:val="none" w:sz="0" w:space="0" w:color="auto"/>
      </w:divBdr>
    </w:div>
    <w:div w:id="561793409">
      <w:bodyDiv w:val="1"/>
      <w:marLeft w:val="0"/>
      <w:marRight w:val="0"/>
      <w:marTop w:val="0"/>
      <w:marBottom w:val="0"/>
      <w:divBdr>
        <w:top w:val="none" w:sz="0" w:space="0" w:color="auto"/>
        <w:left w:val="none" w:sz="0" w:space="0" w:color="auto"/>
        <w:bottom w:val="none" w:sz="0" w:space="0" w:color="auto"/>
        <w:right w:val="none" w:sz="0" w:space="0" w:color="auto"/>
      </w:divBdr>
    </w:div>
    <w:div w:id="942539786">
      <w:bodyDiv w:val="1"/>
      <w:marLeft w:val="0"/>
      <w:marRight w:val="0"/>
      <w:marTop w:val="0"/>
      <w:marBottom w:val="0"/>
      <w:divBdr>
        <w:top w:val="none" w:sz="0" w:space="0" w:color="auto"/>
        <w:left w:val="none" w:sz="0" w:space="0" w:color="auto"/>
        <w:bottom w:val="none" w:sz="0" w:space="0" w:color="auto"/>
        <w:right w:val="none" w:sz="0" w:space="0" w:color="auto"/>
      </w:divBdr>
    </w:div>
    <w:div w:id="999037883">
      <w:bodyDiv w:val="1"/>
      <w:marLeft w:val="0"/>
      <w:marRight w:val="0"/>
      <w:marTop w:val="0"/>
      <w:marBottom w:val="0"/>
      <w:divBdr>
        <w:top w:val="none" w:sz="0" w:space="0" w:color="auto"/>
        <w:left w:val="none" w:sz="0" w:space="0" w:color="auto"/>
        <w:bottom w:val="none" w:sz="0" w:space="0" w:color="auto"/>
        <w:right w:val="none" w:sz="0" w:space="0" w:color="auto"/>
      </w:divBdr>
    </w:div>
    <w:div w:id="1156805093">
      <w:bodyDiv w:val="1"/>
      <w:marLeft w:val="0"/>
      <w:marRight w:val="0"/>
      <w:marTop w:val="0"/>
      <w:marBottom w:val="0"/>
      <w:divBdr>
        <w:top w:val="none" w:sz="0" w:space="0" w:color="auto"/>
        <w:left w:val="none" w:sz="0" w:space="0" w:color="auto"/>
        <w:bottom w:val="none" w:sz="0" w:space="0" w:color="auto"/>
        <w:right w:val="none" w:sz="0" w:space="0" w:color="auto"/>
      </w:divBdr>
    </w:div>
    <w:div w:id="1383359285">
      <w:bodyDiv w:val="1"/>
      <w:marLeft w:val="0"/>
      <w:marRight w:val="0"/>
      <w:marTop w:val="0"/>
      <w:marBottom w:val="0"/>
      <w:divBdr>
        <w:top w:val="none" w:sz="0" w:space="0" w:color="auto"/>
        <w:left w:val="none" w:sz="0" w:space="0" w:color="auto"/>
        <w:bottom w:val="none" w:sz="0" w:space="0" w:color="auto"/>
        <w:right w:val="none" w:sz="0" w:space="0" w:color="auto"/>
      </w:divBdr>
    </w:div>
    <w:div w:id="2019581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hyperlink" Target="https://doi.org/10.1046/j.1365-2389.2001.t01-1-00362.x" TargetMode="External"/><Relationship Id="rId2" Type="http://schemas.openxmlformats.org/officeDocument/2006/relationships/numbering" Target="numbering.xml"/><Relationship Id="rId16" Type="http://schemas.openxmlformats.org/officeDocument/2006/relationships/hyperlink" Target="https://doi.org/10.1016/S0048-9697(99)00160-6"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hyperlink" Target="https://doi.org/10.1046/j.1365-2389.2002.00428.x" TargetMode="External"/><Relationship Id="rId10" Type="http://schemas.openxmlformats.org/officeDocument/2006/relationships/image" Target="media/image3.tif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f"/></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CAEAF8-81A8-4CE5-AF61-1176D38969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0</TotalTime>
  <Pages>8</Pages>
  <Words>2433</Words>
  <Characters>13870</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16271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Joel Mohren</cp:lastModifiedBy>
  <cp:revision>20</cp:revision>
  <cp:lastPrinted>2016-02-01T07:21:00Z</cp:lastPrinted>
  <dcterms:created xsi:type="dcterms:W3CDTF">2024-05-02T16:16:00Z</dcterms:created>
  <dcterms:modified xsi:type="dcterms:W3CDTF">2025-02-24T18:03:00Z</dcterms:modified>
</cp:coreProperties>
</file>