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D18609" w14:textId="77777777" w:rsidR="00BB24ED" w:rsidRDefault="00BB24ED" w:rsidP="00BB24ED">
      <w:pPr>
        <w:spacing w:line="240" w:lineRule="auto"/>
        <w:jc w:val="left"/>
        <w:rPr>
          <w:szCs w:val="20"/>
          <w:lang w:eastAsia="en-GB"/>
        </w:rPr>
      </w:pPr>
    </w:p>
    <w:p w14:paraId="140FDDE4" w14:textId="77777777" w:rsidR="00BB24ED" w:rsidRDefault="00BB24ED" w:rsidP="00BB24ED">
      <w:pPr>
        <w:spacing w:before="240" w:after="240" w:line="240" w:lineRule="auto"/>
        <w:jc w:val="left"/>
        <w:rPr>
          <w:b/>
          <w:sz w:val="34"/>
          <w:szCs w:val="34"/>
        </w:rPr>
      </w:pPr>
      <w:r>
        <w:rPr>
          <w:b/>
          <w:sz w:val="34"/>
          <w:szCs w:val="34"/>
        </w:rPr>
        <w:t>Supplementary material</w:t>
      </w:r>
    </w:p>
    <w:p w14:paraId="3FC02668" w14:textId="77777777" w:rsidR="00BB24ED" w:rsidRDefault="00BB24ED" w:rsidP="00BB24ED">
      <w:pPr>
        <w:spacing w:before="240" w:after="240" w:line="240" w:lineRule="auto"/>
        <w:jc w:val="left"/>
        <w:rPr>
          <w:sz w:val="34"/>
          <w:szCs w:val="34"/>
        </w:rPr>
      </w:pPr>
    </w:p>
    <w:p w14:paraId="498E2E8F" w14:textId="0D019121" w:rsidR="00BB24ED" w:rsidRDefault="00BB24ED" w:rsidP="00BB24ED">
      <w:pPr>
        <w:spacing w:before="240" w:after="240" w:line="240" w:lineRule="auto"/>
        <w:jc w:val="left"/>
        <w:rPr>
          <w:b/>
          <w:sz w:val="18"/>
          <w:szCs w:val="18"/>
        </w:rPr>
      </w:pPr>
      <w:r>
        <w:rPr>
          <w:b/>
          <w:noProof/>
          <w:sz w:val="18"/>
          <w:szCs w:val="18"/>
        </w:rPr>
        <w:drawing>
          <wp:inline distT="0" distB="0" distL="0" distR="0" wp14:anchorId="7C617BC1" wp14:editId="4B8A202F">
            <wp:extent cx="6381750" cy="471487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71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9D086D" w14:textId="6C6639C7" w:rsidR="00BB24ED" w:rsidRDefault="00BB24ED" w:rsidP="00BB24ED">
      <w:pPr>
        <w:spacing w:before="240" w:after="240" w:line="276" w:lineRule="auto"/>
        <w:jc w:val="left"/>
        <w:rPr>
          <w:b/>
          <w:sz w:val="18"/>
          <w:szCs w:val="18"/>
        </w:rPr>
      </w:pPr>
      <w:r>
        <w:rPr>
          <w:b/>
          <w:sz w:val="18"/>
          <w:szCs w:val="18"/>
        </w:rPr>
        <w:t>Figure S</w:t>
      </w:r>
      <w:r w:rsidR="003B7AF1">
        <w:rPr>
          <w:b/>
          <w:sz w:val="18"/>
          <w:szCs w:val="18"/>
        </w:rPr>
        <w:t>1</w:t>
      </w:r>
      <w:r>
        <w:rPr>
          <w:b/>
          <w:sz w:val="18"/>
          <w:szCs w:val="18"/>
        </w:rPr>
        <w:t>: Heatmap showing the MODIS-Aqua L2 PIC concentration values (mol m</w:t>
      </w:r>
      <w:r>
        <w:rPr>
          <w:b/>
          <w:sz w:val="18"/>
          <w:szCs w:val="18"/>
          <w:vertAlign w:val="superscript"/>
        </w:rPr>
        <w:t>-3</w:t>
      </w:r>
      <w:r>
        <w:rPr>
          <w:b/>
          <w:sz w:val="18"/>
          <w:szCs w:val="18"/>
        </w:rPr>
        <w:t xml:space="preserve">) for the New Zealand transect. Dates are shown in the X axis and stations (sorted by latitude, from North -up- to South -down-) in the Y axis. The heatmap shows the availability and distribution of daily satellite-derived PIC concentrations. </w:t>
      </w:r>
    </w:p>
    <w:p w14:paraId="19592DB1" w14:textId="77777777" w:rsidR="00BB24ED" w:rsidRDefault="00BB24ED" w:rsidP="00BB24ED">
      <w:pPr>
        <w:spacing w:before="240" w:after="240" w:line="276" w:lineRule="auto"/>
        <w:jc w:val="left"/>
        <w:rPr>
          <w:b/>
          <w:sz w:val="18"/>
          <w:szCs w:val="18"/>
        </w:rPr>
      </w:pPr>
    </w:p>
    <w:p w14:paraId="0D3AAEF4" w14:textId="77777777" w:rsidR="00BB24ED" w:rsidRDefault="00BB24ED" w:rsidP="00BB24ED">
      <w:pPr>
        <w:spacing w:before="240" w:after="240" w:line="276" w:lineRule="auto"/>
        <w:jc w:val="left"/>
        <w:rPr>
          <w:b/>
          <w:sz w:val="18"/>
          <w:szCs w:val="18"/>
        </w:rPr>
      </w:pPr>
      <w:r>
        <w:rPr>
          <w:b/>
          <w:sz w:val="18"/>
          <w:szCs w:val="18"/>
        </w:rPr>
        <w:t xml:space="preserve"> </w:t>
      </w:r>
    </w:p>
    <w:p w14:paraId="1F567D57" w14:textId="3BB995EB" w:rsidR="00BB24ED" w:rsidRDefault="00BB24ED" w:rsidP="00BB24ED">
      <w:pPr>
        <w:spacing w:before="240" w:after="240" w:line="276" w:lineRule="auto"/>
        <w:jc w:val="left"/>
        <w:rPr>
          <w:b/>
          <w:sz w:val="18"/>
          <w:szCs w:val="18"/>
        </w:rPr>
      </w:pPr>
      <w:r>
        <w:rPr>
          <w:b/>
          <w:sz w:val="18"/>
          <w:szCs w:val="18"/>
        </w:rPr>
        <w:lastRenderedPageBreak/>
        <w:t xml:space="preserve"> </w:t>
      </w:r>
      <w:r>
        <w:rPr>
          <w:b/>
          <w:noProof/>
          <w:sz w:val="18"/>
          <w:szCs w:val="18"/>
        </w:rPr>
        <w:drawing>
          <wp:inline distT="0" distB="0" distL="0" distR="0" wp14:anchorId="42D59818" wp14:editId="1AD014C5">
            <wp:extent cx="6381750" cy="461962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61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133D02" w14:textId="04B1A0B2" w:rsidR="00BB24ED" w:rsidRDefault="00BB24ED" w:rsidP="00BB24ED">
      <w:pPr>
        <w:spacing w:before="240" w:after="240" w:line="276" w:lineRule="auto"/>
        <w:jc w:val="left"/>
        <w:rPr>
          <w:sz w:val="34"/>
          <w:szCs w:val="34"/>
        </w:rPr>
      </w:pPr>
      <w:r>
        <w:rPr>
          <w:b/>
          <w:sz w:val="18"/>
          <w:szCs w:val="18"/>
        </w:rPr>
        <w:t>Figure S</w:t>
      </w:r>
      <w:r w:rsidR="003B7AF1">
        <w:rPr>
          <w:b/>
          <w:sz w:val="18"/>
          <w:szCs w:val="18"/>
        </w:rPr>
        <w:t>2</w:t>
      </w:r>
      <w:r>
        <w:rPr>
          <w:b/>
          <w:sz w:val="18"/>
          <w:szCs w:val="18"/>
        </w:rPr>
        <w:t>: Heatmap of MODIS-Aqua L2 PIC concentration values (mol m</w:t>
      </w:r>
      <w:r>
        <w:rPr>
          <w:b/>
          <w:sz w:val="18"/>
          <w:szCs w:val="18"/>
          <w:vertAlign w:val="superscript"/>
        </w:rPr>
        <w:t>-3</w:t>
      </w:r>
      <w:r>
        <w:rPr>
          <w:b/>
          <w:sz w:val="18"/>
          <w:szCs w:val="18"/>
        </w:rPr>
        <w:t xml:space="preserve">) for the Drake Passage transect. X axis shows Dates are shown in the X axis and stations (sorted by station name) in the Y axis. The heatmap shows the availability and distribution of daily satellite-derived PIC concentrations. </w:t>
      </w:r>
    </w:p>
    <w:p w14:paraId="01185DBB" w14:textId="1E1523BD" w:rsidR="00BB24ED" w:rsidRDefault="00BB24ED" w:rsidP="00BB24ED">
      <w:pPr>
        <w:spacing w:before="240" w:after="240" w:line="240" w:lineRule="auto"/>
        <w:jc w:val="center"/>
        <w:rPr>
          <w:b/>
          <w:sz w:val="18"/>
          <w:szCs w:val="18"/>
        </w:rPr>
      </w:pPr>
      <w:r>
        <w:rPr>
          <w:b/>
          <w:sz w:val="18"/>
          <w:szCs w:val="18"/>
        </w:rPr>
        <w:lastRenderedPageBreak/>
        <w:t xml:space="preserve"> </w:t>
      </w:r>
      <w:r>
        <w:rPr>
          <w:b/>
          <w:noProof/>
          <w:sz w:val="18"/>
          <w:szCs w:val="18"/>
        </w:rPr>
        <w:drawing>
          <wp:inline distT="0" distB="0" distL="0" distR="0" wp14:anchorId="1738A9A9" wp14:editId="1112ECDA">
            <wp:extent cx="4457700" cy="62769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627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D086E8" w14:textId="55CE07D0" w:rsidR="00BB24ED" w:rsidRDefault="00BB24ED" w:rsidP="00BB24ED">
      <w:pPr>
        <w:spacing w:before="240" w:after="240" w:line="240" w:lineRule="auto"/>
        <w:jc w:val="left"/>
        <w:rPr>
          <w:b/>
          <w:sz w:val="18"/>
          <w:szCs w:val="18"/>
        </w:rPr>
      </w:pPr>
      <w:r>
        <w:rPr>
          <w:b/>
          <w:sz w:val="18"/>
          <w:szCs w:val="18"/>
        </w:rPr>
        <w:t>Figure S</w:t>
      </w:r>
      <w:r w:rsidR="003B7AF1">
        <w:rPr>
          <w:b/>
          <w:sz w:val="18"/>
          <w:szCs w:val="18"/>
        </w:rPr>
        <w:t>3</w:t>
      </w:r>
      <w:r>
        <w:rPr>
          <w:b/>
          <w:sz w:val="18"/>
          <w:szCs w:val="18"/>
        </w:rPr>
        <w:t>: Monthly MODIS-Aqua L3 PIC concentration values (mol m</w:t>
      </w:r>
      <w:r>
        <w:rPr>
          <w:b/>
          <w:sz w:val="18"/>
          <w:szCs w:val="18"/>
          <w:vertAlign w:val="superscript"/>
        </w:rPr>
        <w:t>-3</w:t>
      </w:r>
      <w:r>
        <w:rPr>
          <w:b/>
          <w:sz w:val="18"/>
          <w:szCs w:val="18"/>
        </w:rPr>
        <w:t>) in the New Zealand transect corresponding to (a) December 2004 and (b) January 2005, over a bathymetry background (GEBCO Compilation Group, 2022). White lines indicate the ACC fronts (</w:t>
      </w:r>
      <w:proofErr w:type="spellStart"/>
      <w:r>
        <w:rPr>
          <w:b/>
          <w:sz w:val="18"/>
          <w:szCs w:val="18"/>
        </w:rPr>
        <w:t>Orsi</w:t>
      </w:r>
      <w:proofErr w:type="spellEnd"/>
      <w:r>
        <w:rPr>
          <w:b/>
          <w:sz w:val="18"/>
          <w:szCs w:val="18"/>
        </w:rPr>
        <w:t xml:space="preserve"> and Harris (2019) from north to south: SAF (</w:t>
      </w:r>
      <w:proofErr w:type="spellStart"/>
      <w:r>
        <w:rPr>
          <w:b/>
          <w:sz w:val="18"/>
          <w:szCs w:val="18"/>
        </w:rPr>
        <w:t>Subantarctic</w:t>
      </w:r>
      <w:proofErr w:type="spellEnd"/>
      <w:r>
        <w:rPr>
          <w:b/>
          <w:sz w:val="18"/>
          <w:szCs w:val="18"/>
        </w:rPr>
        <w:t xml:space="preserve"> Front), PF (Polar Front), </w:t>
      </w:r>
      <w:proofErr w:type="spellStart"/>
      <w:r>
        <w:rPr>
          <w:b/>
          <w:sz w:val="18"/>
          <w:szCs w:val="18"/>
        </w:rPr>
        <w:t>sACCf</w:t>
      </w:r>
      <w:proofErr w:type="spellEnd"/>
      <w:r>
        <w:rPr>
          <w:b/>
          <w:sz w:val="18"/>
          <w:szCs w:val="18"/>
        </w:rPr>
        <w:t xml:space="preserve"> (Southern ACC Front) and </w:t>
      </w:r>
      <w:proofErr w:type="spellStart"/>
      <w:r>
        <w:rPr>
          <w:b/>
          <w:sz w:val="18"/>
          <w:szCs w:val="18"/>
        </w:rPr>
        <w:t>B</w:t>
      </w:r>
      <w:r w:rsidR="00746C1F">
        <w:rPr>
          <w:b/>
          <w:sz w:val="18"/>
          <w:szCs w:val="18"/>
        </w:rPr>
        <w:t>d</w:t>
      </w:r>
      <w:r>
        <w:rPr>
          <w:b/>
          <w:sz w:val="18"/>
          <w:szCs w:val="18"/>
        </w:rPr>
        <w:t>y</w:t>
      </w:r>
      <w:proofErr w:type="spellEnd"/>
      <w:r>
        <w:rPr>
          <w:b/>
          <w:sz w:val="18"/>
          <w:szCs w:val="18"/>
        </w:rPr>
        <w:t xml:space="preserve"> (Southern Boundary). The Southern Ocean zones are </w:t>
      </w:r>
      <w:proofErr w:type="spellStart"/>
      <w:r>
        <w:rPr>
          <w:b/>
          <w:sz w:val="18"/>
          <w:szCs w:val="18"/>
        </w:rPr>
        <w:t>labeled</w:t>
      </w:r>
      <w:proofErr w:type="spellEnd"/>
      <w:r>
        <w:rPr>
          <w:b/>
          <w:sz w:val="18"/>
          <w:szCs w:val="18"/>
        </w:rPr>
        <w:t xml:space="preserve"> on the side of each map: STZ, Subtropical Zone; SAZ, </w:t>
      </w:r>
      <w:proofErr w:type="spellStart"/>
      <w:r>
        <w:rPr>
          <w:b/>
          <w:sz w:val="18"/>
          <w:szCs w:val="18"/>
        </w:rPr>
        <w:t>Subantarctic</w:t>
      </w:r>
      <w:proofErr w:type="spellEnd"/>
      <w:r>
        <w:rPr>
          <w:b/>
          <w:sz w:val="18"/>
          <w:szCs w:val="18"/>
        </w:rPr>
        <w:t xml:space="preserve"> Zone; PFZ, Polar Frontal Zone; AZ, Antarctic Zone.</w:t>
      </w:r>
    </w:p>
    <w:p w14:paraId="40D4400F" w14:textId="169346CD" w:rsidR="00BB24ED" w:rsidRDefault="00BB24ED" w:rsidP="00BB24ED">
      <w:pPr>
        <w:spacing w:before="240" w:after="240" w:line="240" w:lineRule="auto"/>
        <w:jc w:val="left"/>
        <w:rPr>
          <w:b/>
          <w:sz w:val="18"/>
          <w:szCs w:val="18"/>
        </w:rPr>
      </w:pPr>
      <w:r>
        <w:rPr>
          <w:b/>
          <w:sz w:val="18"/>
          <w:szCs w:val="18"/>
        </w:rPr>
        <w:lastRenderedPageBreak/>
        <w:t xml:space="preserve"> </w:t>
      </w:r>
      <w:r>
        <w:rPr>
          <w:b/>
          <w:noProof/>
          <w:sz w:val="18"/>
          <w:szCs w:val="18"/>
        </w:rPr>
        <w:drawing>
          <wp:inline distT="0" distB="0" distL="0" distR="0" wp14:anchorId="73D1832C" wp14:editId="03F62FC5">
            <wp:extent cx="5734050" cy="402907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402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AA5342" w14:textId="3E651467" w:rsidR="00BB24ED" w:rsidRDefault="00BB24ED" w:rsidP="00BB24ED">
      <w:pPr>
        <w:spacing w:before="240" w:after="240" w:line="240" w:lineRule="auto"/>
        <w:jc w:val="left"/>
        <w:rPr>
          <w:b/>
          <w:sz w:val="18"/>
          <w:szCs w:val="18"/>
        </w:rPr>
      </w:pPr>
      <w:r>
        <w:rPr>
          <w:b/>
          <w:sz w:val="18"/>
          <w:szCs w:val="18"/>
        </w:rPr>
        <w:t>Figure S</w:t>
      </w:r>
      <w:r w:rsidR="003B7AF1">
        <w:rPr>
          <w:b/>
          <w:sz w:val="18"/>
          <w:szCs w:val="18"/>
        </w:rPr>
        <w:t>4</w:t>
      </w:r>
      <w:r>
        <w:rPr>
          <w:b/>
          <w:sz w:val="18"/>
          <w:szCs w:val="18"/>
        </w:rPr>
        <w:t>: Monthly MODIS-Aqua L3 PIC concentration values (mol m</w:t>
      </w:r>
      <w:r>
        <w:rPr>
          <w:b/>
          <w:sz w:val="18"/>
          <w:szCs w:val="18"/>
          <w:vertAlign w:val="superscript"/>
        </w:rPr>
        <w:t>-3</w:t>
      </w:r>
      <w:r>
        <w:rPr>
          <w:b/>
          <w:sz w:val="18"/>
          <w:szCs w:val="18"/>
        </w:rPr>
        <w:t>) in the Drake Passage corresponding to (a) February 2016 and (b) March 2016, over a bathymetry background (GEBCO Compilation Group, 2022). White lines indicate the ACC fronts (</w:t>
      </w:r>
      <w:proofErr w:type="spellStart"/>
      <w:r>
        <w:rPr>
          <w:b/>
          <w:sz w:val="18"/>
          <w:szCs w:val="18"/>
        </w:rPr>
        <w:t>Orsi</w:t>
      </w:r>
      <w:proofErr w:type="spellEnd"/>
      <w:r>
        <w:rPr>
          <w:b/>
          <w:sz w:val="18"/>
          <w:szCs w:val="18"/>
        </w:rPr>
        <w:t xml:space="preserve"> and Harris (2019) from north to south: SAF (</w:t>
      </w:r>
      <w:proofErr w:type="spellStart"/>
      <w:r>
        <w:rPr>
          <w:b/>
          <w:sz w:val="18"/>
          <w:szCs w:val="18"/>
        </w:rPr>
        <w:t>Subantarctic</w:t>
      </w:r>
      <w:proofErr w:type="spellEnd"/>
      <w:r>
        <w:rPr>
          <w:b/>
          <w:sz w:val="18"/>
          <w:szCs w:val="18"/>
        </w:rPr>
        <w:t xml:space="preserve"> Front), PF (Polar Front), </w:t>
      </w:r>
      <w:proofErr w:type="spellStart"/>
      <w:r>
        <w:rPr>
          <w:b/>
          <w:sz w:val="18"/>
          <w:szCs w:val="18"/>
        </w:rPr>
        <w:t>sACCf</w:t>
      </w:r>
      <w:proofErr w:type="spellEnd"/>
      <w:r>
        <w:rPr>
          <w:b/>
          <w:sz w:val="18"/>
          <w:szCs w:val="18"/>
        </w:rPr>
        <w:t xml:space="preserve"> (Southern ACC Front) and </w:t>
      </w:r>
      <w:proofErr w:type="spellStart"/>
      <w:r>
        <w:rPr>
          <w:b/>
          <w:sz w:val="18"/>
          <w:szCs w:val="18"/>
        </w:rPr>
        <w:t>B</w:t>
      </w:r>
      <w:r w:rsidR="00746C1F">
        <w:rPr>
          <w:b/>
          <w:sz w:val="18"/>
          <w:szCs w:val="18"/>
        </w:rPr>
        <w:t>d</w:t>
      </w:r>
      <w:r>
        <w:rPr>
          <w:b/>
          <w:sz w:val="18"/>
          <w:szCs w:val="18"/>
        </w:rPr>
        <w:t>y</w:t>
      </w:r>
      <w:proofErr w:type="spellEnd"/>
      <w:r>
        <w:rPr>
          <w:b/>
          <w:sz w:val="18"/>
          <w:szCs w:val="18"/>
        </w:rPr>
        <w:t xml:space="preserve"> (Southern Boundary). The Southern Ocean zones are </w:t>
      </w:r>
      <w:proofErr w:type="spellStart"/>
      <w:r>
        <w:rPr>
          <w:b/>
          <w:sz w:val="18"/>
          <w:szCs w:val="18"/>
        </w:rPr>
        <w:t>labeled</w:t>
      </w:r>
      <w:proofErr w:type="spellEnd"/>
      <w:r>
        <w:rPr>
          <w:b/>
          <w:sz w:val="18"/>
          <w:szCs w:val="18"/>
        </w:rPr>
        <w:t xml:space="preserve"> on the side of each map: STZ, Subtropical Zone; SAZ, </w:t>
      </w:r>
      <w:proofErr w:type="spellStart"/>
      <w:r>
        <w:rPr>
          <w:b/>
          <w:sz w:val="18"/>
          <w:szCs w:val="18"/>
        </w:rPr>
        <w:t>Subantarctic</w:t>
      </w:r>
      <w:proofErr w:type="spellEnd"/>
      <w:r>
        <w:rPr>
          <w:b/>
          <w:sz w:val="18"/>
          <w:szCs w:val="18"/>
        </w:rPr>
        <w:t xml:space="preserve"> Zone; PFZ, Polar Frontal Zone; AZ, Antarctic Zone.</w:t>
      </w:r>
    </w:p>
    <w:p w14:paraId="0648D802" w14:textId="77777777" w:rsidR="00BB24ED" w:rsidRDefault="00BB24ED" w:rsidP="00BB24ED">
      <w:pPr>
        <w:spacing w:before="240" w:after="240" w:line="276" w:lineRule="auto"/>
        <w:jc w:val="left"/>
        <w:rPr>
          <w:b/>
          <w:sz w:val="18"/>
          <w:szCs w:val="18"/>
        </w:rPr>
      </w:pPr>
    </w:p>
    <w:p w14:paraId="33936DB7" w14:textId="77777777" w:rsidR="00BB24ED" w:rsidRDefault="00BB24ED" w:rsidP="00BB24ED">
      <w:pPr>
        <w:spacing w:before="240" w:after="240" w:line="276" w:lineRule="auto"/>
        <w:jc w:val="left"/>
        <w:rPr>
          <w:b/>
          <w:sz w:val="18"/>
          <w:szCs w:val="18"/>
        </w:rPr>
      </w:pPr>
      <w:r>
        <w:rPr>
          <w:b/>
          <w:sz w:val="18"/>
          <w:szCs w:val="18"/>
        </w:rPr>
        <w:t xml:space="preserve"> </w:t>
      </w:r>
    </w:p>
    <w:p w14:paraId="077F7F9B" w14:textId="77777777" w:rsidR="001D54C2" w:rsidRPr="001D54C2" w:rsidRDefault="001D54C2" w:rsidP="001D54C2">
      <w:pPr>
        <w:spacing w:before="240" w:line="240" w:lineRule="auto"/>
      </w:pPr>
    </w:p>
    <w:p w14:paraId="6E9F8352" w14:textId="54EB7057" w:rsidR="00A40D3F" w:rsidRDefault="009E184E" w:rsidP="001D54C2">
      <w:pPr>
        <w:pStyle w:val="Caption"/>
        <w:spacing w:before="240"/>
      </w:pPr>
      <w:r>
        <w:t xml:space="preserve">Table </w:t>
      </w:r>
      <w:r w:rsidR="00A40D3F">
        <w:t>S</w:t>
      </w:r>
      <w:bookmarkStart w:id="0" w:name="_GoBack"/>
      <w:bookmarkEnd w:id="0"/>
      <w:r w:rsidR="00A61BF3">
        <w:t>1</w:t>
      </w:r>
      <w:r>
        <w:t xml:space="preserve">: </w:t>
      </w:r>
      <w:r w:rsidR="00A40D3F">
        <w:t xml:space="preserve">Morphometries of </w:t>
      </w:r>
      <w:proofErr w:type="spellStart"/>
      <w:r w:rsidR="00A40D3F" w:rsidRPr="00A40D3F">
        <w:rPr>
          <w:i/>
        </w:rPr>
        <w:t>Emiliania</w:t>
      </w:r>
      <w:proofErr w:type="spellEnd"/>
      <w:r w:rsidR="00A40D3F" w:rsidRPr="00A40D3F">
        <w:rPr>
          <w:i/>
        </w:rPr>
        <w:t xml:space="preserve"> </w:t>
      </w:r>
      <w:proofErr w:type="spellStart"/>
      <w:r w:rsidR="00A40D3F" w:rsidRPr="00A40D3F">
        <w:rPr>
          <w:i/>
        </w:rPr>
        <w:t>huxleyi</w:t>
      </w:r>
      <w:proofErr w:type="spellEnd"/>
      <w:r w:rsidR="00A40D3F">
        <w:t xml:space="preserve"> in the New Zealand transect. Type of </w:t>
      </w:r>
      <w:r w:rsidR="00A40D3F" w:rsidRPr="00A40D3F">
        <w:rPr>
          <w:i/>
        </w:rPr>
        <w:t xml:space="preserve">E. </w:t>
      </w:r>
      <w:proofErr w:type="spellStart"/>
      <w:r w:rsidR="00A40D3F" w:rsidRPr="00A40D3F">
        <w:rPr>
          <w:i/>
        </w:rPr>
        <w:t>huxleyi</w:t>
      </w:r>
      <w:proofErr w:type="spellEnd"/>
      <w:r w:rsidR="0010462F">
        <w:rPr>
          <w:i/>
        </w:rPr>
        <w:t xml:space="preserve"> </w:t>
      </w:r>
      <w:r w:rsidR="0010462F" w:rsidRPr="0010462F">
        <w:t>(*)</w:t>
      </w:r>
      <w:r w:rsidR="00A40D3F" w:rsidRPr="0010462F">
        <w:t>,</w:t>
      </w:r>
      <w:r w:rsidR="00A40D3F">
        <w:t xml:space="preserve"> researcher who performed the measurements, station, latitude, longitude, name of the image used</w:t>
      </w:r>
      <w:r w:rsidR="00167D25">
        <w:t xml:space="preserve"> / </w:t>
      </w:r>
      <w:r w:rsidR="002F56E6">
        <w:t>refer</w:t>
      </w:r>
      <w:r w:rsidR="00167D25">
        <w:t>e</w:t>
      </w:r>
      <w:r w:rsidR="002F56E6">
        <w:t>nce</w:t>
      </w:r>
      <w:r w:rsidR="00A40D3F">
        <w:t xml:space="preserve">, </w:t>
      </w:r>
      <w:r w:rsidR="008A2ADA" w:rsidRPr="008960E8">
        <w:t>coccolith length (major</w:t>
      </w:r>
      <w:r w:rsidR="008A2ADA">
        <w:t>, in µm</w:t>
      </w:r>
      <w:r w:rsidR="008A2ADA" w:rsidRPr="008960E8">
        <w:t>), coccolith width (minor</w:t>
      </w:r>
      <w:r w:rsidR="008A2ADA">
        <w:t>, in µm</w:t>
      </w:r>
      <w:r w:rsidR="008A2ADA" w:rsidRPr="008960E8">
        <w:t>), number of T-elements</w:t>
      </w:r>
      <w:r w:rsidR="008A2ADA">
        <w:t>,</w:t>
      </w:r>
      <w:r w:rsidR="008A2ADA" w:rsidRPr="008960E8">
        <w:t xml:space="preserve"> distal shield element width</w:t>
      </w:r>
      <w:r w:rsidR="008A2ADA">
        <w:t xml:space="preserve"> (</w:t>
      </w:r>
      <w:proofErr w:type="spellStart"/>
      <w:proofErr w:type="gramStart"/>
      <w:r w:rsidR="008A2ADA">
        <w:t>ray.width</w:t>
      </w:r>
      <w:proofErr w:type="spellEnd"/>
      <w:proofErr w:type="gramEnd"/>
      <w:r w:rsidR="0010462F">
        <w:t>, in µm</w:t>
      </w:r>
      <w:r w:rsidR="008A2ADA">
        <w:t>)</w:t>
      </w:r>
      <w:r w:rsidR="008A2ADA" w:rsidRPr="008960E8">
        <w:t xml:space="preserve">, tube width </w:t>
      </w:r>
      <w:r w:rsidR="0010462F">
        <w:t>(</w:t>
      </w:r>
      <w:proofErr w:type="spellStart"/>
      <w:r w:rsidR="0010462F">
        <w:t>tube.width</w:t>
      </w:r>
      <w:proofErr w:type="spellEnd"/>
      <w:r w:rsidR="0010462F">
        <w:t>, in µm)</w:t>
      </w:r>
      <w:r w:rsidR="00167D25">
        <w:t>, shape factor</w:t>
      </w:r>
      <w:r w:rsidR="0010462F">
        <w:t xml:space="preserve"> and calculated coccolith mass following Young and </w:t>
      </w:r>
      <w:proofErr w:type="spellStart"/>
      <w:r w:rsidR="0010462F">
        <w:t>Ziveri</w:t>
      </w:r>
      <w:proofErr w:type="spellEnd"/>
      <w:r w:rsidR="0010462F">
        <w:t xml:space="preserve"> (2000)</w:t>
      </w:r>
      <w:r w:rsidR="006F171C">
        <w:t xml:space="preserve"> (in </w:t>
      </w:r>
      <w:proofErr w:type="spellStart"/>
      <w:r w:rsidR="006F171C">
        <w:t>pg</w:t>
      </w:r>
      <w:proofErr w:type="spellEnd"/>
      <w:r w:rsidR="006F171C">
        <w:t>)</w:t>
      </w:r>
      <w:r w:rsidR="0010462F">
        <w:t>. (*) “</w:t>
      </w:r>
      <w:proofErr w:type="spellStart"/>
      <w:r w:rsidR="0010462F">
        <w:t>Bilay</w:t>
      </w:r>
      <w:proofErr w:type="spellEnd"/>
      <w:r w:rsidR="0010462F">
        <w:t xml:space="preserve">” indicates </w:t>
      </w:r>
      <w:proofErr w:type="spellStart"/>
      <w:r w:rsidR="0010462F">
        <w:t>bilayered</w:t>
      </w:r>
      <w:proofErr w:type="spellEnd"/>
      <w:r w:rsidR="0010462F">
        <w:t xml:space="preserve"> </w:t>
      </w:r>
      <w:proofErr w:type="spellStart"/>
      <w:r w:rsidR="0010462F">
        <w:t>coccospheres</w:t>
      </w:r>
      <w:proofErr w:type="spellEnd"/>
      <w:r w:rsidR="0010462F">
        <w:t xml:space="preserve"> and “diss”, dissolution observed. </w:t>
      </w:r>
    </w:p>
    <w:p w14:paraId="022255A4" w14:textId="68243740" w:rsidR="00A40D3F" w:rsidRDefault="00A40D3F" w:rsidP="001D54C2">
      <w:pPr>
        <w:pStyle w:val="Caption"/>
        <w:spacing w:before="240"/>
      </w:pPr>
    </w:p>
    <w:p w14:paraId="557D6D02" w14:textId="7246AED0" w:rsidR="002F56E6" w:rsidRDefault="002F56E6" w:rsidP="001D54C2">
      <w:pPr>
        <w:pStyle w:val="Caption"/>
        <w:spacing w:before="240"/>
      </w:pPr>
      <w:r>
        <w:t xml:space="preserve">Table S2: Morphometries of </w:t>
      </w:r>
      <w:proofErr w:type="spellStart"/>
      <w:r w:rsidRPr="00A40D3F">
        <w:rPr>
          <w:i/>
        </w:rPr>
        <w:t>Emiliania</w:t>
      </w:r>
      <w:proofErr w:type="spellEnd"/>
      <w:r w:rsidRPr="00A40D3F">
        <w:rPr>
          <w:i/>
        </w:rPr>
        <w:t xml:space="preserve"> </w:t>
      </w:r>
      <w:proofErr w:type="spellStart"/>
      <w:r w:rsidRPr="00A40D3F">
        <w:rPr>
          <w:i/>
        </w:rPr>
        <w:t>huxleyi</w:t>
      </w:r>
      <w:proofErr w:type="spellEnd"/>
      <w:r>
        <w:t xml:space="preserve"> in the Drake Passage transect. Type of </w:t>
      </w:r>
      <w:r w:rsidRPr="00A40D3F">
        <w:rPr>
          <w:i/>
        </w:rPr>
        <w:t xml:space="preserve">E. </w:t>
      </w:r>
      <w:proofErr w:type="spellStart"/>
      <w:r w:rsidRPr="00A40D3F">
        <w:rPr>
          <w:i/>
        </w:rPr>
        <w:t>huxleyi</w:t>
      </w:r>
      <w:proofErr w:type="spellEnd"/>
      <w:r w:rsidRPr="0010462F">
        <w:t>,</w:t>
      </w:r>
      <w:r>
        <w:t xml:space="preserve"> researcher who performed the measurements, station, latitude, longitude, name of the image used / </w:t>
      </w:r>
      <w:r w:rsidR="00167D25">
        <w:t>reference</w:t>
      </w:r>
      <w:r>
        <w:t xml:space="preserve">, </w:t>
      </w:r>
      <w:r w:rsidRPr="008960E8">
        <w:t>coccolith length (major</w:t>
      </w:r>
      <w:r>
        <w:t>, in µm</w:t>
      </w:r>
      <w:r w:rsidRPr="008960E8">
        <w:t>), coccolith width (minor</w:t>
      </w:r>
      <w:r>
        <w:t>, in µm</w:t>
      </w:r>
      <w:r w:rsidRPr="008960E8">
        <w:t>), number of T-elements</w:t>
      </w:r>
      <w:r>
        <w:t>,</w:t>
      </w:r>
      <w:r w:rsidRPr="008960E8">
        <w:t xml:space="preserve"> distal shield element width</w:t>
      </w:r>
      <w:r>
        <w:t xml:space="preserve"> (</w:t>
      </w:r>
      <w:proofErr w:type="spellStart"/>
      <w:r>
        <w:t>ray.width</w:t>
      </w:r>
      <w:proofErr w:type="spellEnd"/>
      <w:r>
        <w:t>, in µm)</w:t>
      </w:r>
      <w:r w:rsidRPr="008960E8">
        <w:t>,</w:t>
      </w:r>
      <w:r w:rsidR="00167D25">
        <w:t xml:space="preserve"> </w:t>
      </w:r>
      <w:proofErr w:type="spellStart"/>
      <w:r w:rsidR="00167D25">
        <w:t>ray.flag</w:t>
      </w:r>
      <w:proofErr w:type="spellEnd"/>
      <w:r w:rsidR="00167D25">
        <w:t xml:space="preserve"> (i.e. if the coccobiom2 t-element count </w:t>
      </w:r>
      <w:r w:rsidR="00167D25">
        <w:lastRenderedPageBreak/>
        <w:t>is reliable (0) or not (-1)),</w:t>
      </w:r>
      <w:r w:rsidRPr="008960E8">
        <w:t xml:space="preserve"> tube width </w:t>
      </w:r>
      <w:r>
        <w:t>(</w:t>
      </w:r>
      <w:proofErr w:type="spellStart"/>
      <w:r>
        <w:t>tube.width</w:t>
      </w:r>
      <w:proofErr w:type="spellEnd"/>
      <w:r>
        <w:t xml:space="preserve">, in µm) </w:t>
      </w:r>
      <w:r w:rsidR="006C132E">
        <w:t xml:space="preserve">shape factor, </w:t>
      </w:r>
      <w:r>
        <w:t xml:space="preserve">and calculated coccolith mass following Young and </w:t>
      </w:r>
      <w:proofErr w:type="spellStart"/>
      <w:r>
        <w:t>Ziveri</w:t>
      </w:r>
      <w:proofErr w:type="spellEnd"/>
      <w:r>
        <w:t xml:space="preserve"> (2000)</w:t>
      </w:r>
      <w:r w:rsidR="006F171C" w:rsidRPr="006F171C">
        <w:t xml:space="preserve"> </w:t>
      </w:r>
      <w:r w:rsidR="006F171C">
        <w:t xml:space="preserve">(in </w:t>
      </w:r>
      <w:proofErr w:type="spellStart"/>
      <w:r w:rsidR="006F171C">
        <w:t>pg</w:t>
      </w:r>
      <w:proofErr w:type="spellEnd"/>
      <w:r w:rsidR="006F171C">
        <w:t>)</w:t>
      </w:r>
      <w:r>
        <w:t xml:space="preserve">. </w:t>
      </w:r>
    </w:p>
    <w:p w14:paraId="663A1741" w14:textId="585563F6" w:rsidR="009E184E" w:rsidRDefault="009E184E" w:rsidP="001D54C2">
      <w:pPr>
        <w:pStyle w:val="Caption"/>
        <w:spacing w:before="240"/>
      </w:pPr>
    </w:p>
    <w:p w14:paraId="08EA297F" w14:textId="444FEC9C" w:rsidR="006C132E" w:rsidRDefault="006C132E" w:rsidP="001D54C2">
      <w:pPr>
        <w:pStyle w:val="Caption"/>
        <w:spacing w:before="240"/>
      </w:pPr>
      <w:r>
        <w:t xml:space="preserve">Table S3: Morphometries of </w:t>
      </w:r>
      <w:proofErr w:type="spellStart"/>
      <w:r>
        <w:rPr>
          <w:i/>
        </w:rPr>
        <w:t>Calcidiscus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leptoporus</w:t>
      </w:r>
      <w:proofErr w:type="spellEnd"/>
      <w:r>
        <w:t xml:space="preserve"> in the New Zealand transect. </w:t>
      </w:r>
      <w:r w:rsidR="00AB565E">
        <w:t xml:space="preserve">Sample, </w:t>
      </w:r>
      <w:proofErr w:type="spellStart"/>
      <w:r w:rsidR="00AB565E">
        <w:t>c</w:t>
      </w:r>
      <w:r>
        <w:t>occosphere</w:t>
      </w:r>
      <w:proofErr w:type="spellEnd"/>
      <w:r>
        <w:t xml:space="preserve"> diameter (in µm), </w:t>
      </w:r>
      <w:r w:rsidRPr="008960E8">
        <w:t xml:space="preserve">coccolith </w:t>
      </w:r>
      <w:r>
        <w:t>diameter</w:t>
      </w:r>
      <w:r w:rsidRPr="008960E8">
        <w:t xml:space="preserve"> (</w:t>
      </w:r>
      <w:r>
        <w:t xml:space="preserve">in µm) and number of elements. </w:t>
      </w:r>
    </w:p>
    <w:p w14:paraId="5EE8C56F" w14:textId="4934FC6E" w:rsidR="006C132E" w:rsidRDefault="006C132E" w:rsidP="001D54C2">
      <w:pPr>
        <w:spacing w:before="240" w:line="240" w:lineRule="auto"/>
      </w:pPr>
    </w:p>
    <w:p w14:paraId="6573B4FD" w14:textId="692C5470" w:rsidR="00913CC6" w:rsidRDefault="0052024E" w:rsidP="001D54C2">
      <w:pPr>
        <w:pStyle w:val="Caption"/>
        <w:spacing w:before="240"/>
      </w:pPr>
      <w:r>
        <w:t xml:space="preserve">Table S4: </w:t>
      </w:r>
      <w:proofErr w:type="spellStart"/>
      <w:r w:rsidR="00913CC6" w:rsidRPr="00A40D3F">
        <w:rPr>
          <w:i/>
        </w:rPr>
        <w:t>Emiliania</w:t>
      </w:r>
      <w:proofErr w:type="spellEnd"/>
      <w:r w:rsidR="00913CC6" w:rsidRPr="00A40D3F">
        <w:rPr>
          <w:i/>
        </w:rPr>
        <w:t xml:space="preserve"> </w:t>
      </w:r>
      <w:proofErr w:type="spellStart"/>
      <w:r w:rsidR="00913CC6" w:rsidRPr="00A40D3F">
        <w:rPr>
          <w:i/>
        </w:rPr>
        <w:t>huxleyi</w:t>
      </w:r>
      <w:proofErr w:type="spellEnd"/>
      <w:r w:rsidR="00913CC6">
        <w:t xml:space="preserve"> data in the Drake Passage transect</w:t>
      </w:r>
      <w:r>
        <w:t xml:space="preserve">. Sample, </w:t>
      </w:r>
      <w:r w:rsidR="00913CC6">
        <w:t xml:space="preserve">name of the image, layers (nothing denotes a single layer and </w:t>
      </w:r>
      <w:proofErr w:type="spellStart"/>
      <w:r w:rsidR="00913CC6">
        <w:t>bilayered</w:t>
      </w:r>
      <w:proofErr w:type="spellEnd"/>
      <w:r w:rsidR="00913CC6">
        <w:t xml:space="preserve">, at least two layers of coccoliths), SEM picture number (for reference), coccoliths counted and number of coccoliths per </w:t>
      </w:r>
      <w:proofErr w:type="spellStart"/>
      <w:r w:rsidR="00913CC6">
        <w:t>coccosphere</w:t>
      </w:r>
      <w:proofErr w:type="spellEnd"/>
      <w:r w:rsidR="00913CC6">
        <w:t xml:space="preserve">. </w:t>
      </w:r>
    </w:p>
    <w:p w14:paraId="10C4E70C" w14:textId="77777777" w:rsidR="0052024E" w:rsidRPr="006C132E" w:rsidRDefault="0052024E" w:rsidP="006C132E"/>
    <w:sectPr w:rsidR="0052024E" w:rsidRPr="006C132E" w:rsidSect="00F512A5">
      <w:footerReference w:type="default" r:id="rId12"/>
      <w:pgSz w:w="11907" w:h="13608"/>
      <w:pgMar w:top="567" w:right="936" w:bottom="1338" w:left="936" w:header="0" w:footer="737" w:gutter="0"/>
      <w:lnNumType w:countBy="5" w:distance="227" w:restart="continuous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4047F46" w14:textId="77777777" w:rsidR="00042F21" w:rsidRDefault="00042F21" w:rsidP="006D0C96">
      <w:pPr>
        <w:spacing w:line="240" w:lineRule="auto"/>
      </w:pPr>
      <w:r>
        <w:separator/>
      </w:r>
    </w:p>
  </w:endnote>
  <w:endnote w:type="continuationSeparator" w:id="0">
    <w:p w14:paraId="541CB6DC" w14:textId="77777777" w:rsidR="00042F21" w:rsidRDefault="00042F21" w:rsidP="006D0C9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206778817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576ABD1" w14:textId="77777777" w:rsidR="004A3491" w:rsidRDefault="004A3491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44AA5123" w14:textId="77777777" w:rsidR="004A3491" w:rsidRDefault="004A349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8BDB3BB" w14:textId="77777777" w:rsidR="00042F21" w:rsidRDefault="00042F21" w:rsidP="006D0C96">
      <w:pPr>
        <w:spacing w:line="240" w:lineRule="auto"/>
      </w:pPr>
      <w:r>
        <w:separator/>
      </w:r>
    </w:p>
  </w:footnote>
  <w:footnote w:type="continuationSeparator" w:id="0">
    <w:p w14:paraId="406CD4A8" w14:textId="77777777" w:rsidR="00042F21" w:rsidRDefault="00042F21" w:rsidP="006D0C96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294403"/>
    <w:multiLevelType w:val="hybridMultilevel"/>
    <w:tmpl w:val="E6ECA0A2"/>
    <w:lvl w:ilvl="0" w:tplc="35A460C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3621EB8"/>
    <w:multiLevelType w:val="hybridMultilevel"/>
    <w:tmpl w:val="B3626938"/>
    <w:lvl w:ilvl="0" w:tplc="F29A847E">
      <w:start w:val="1"/>
      <w:numFmt w:val="bullet"/>
      <w:pStyle w:val="Bullets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4213"/>
    <w:rsid w:val="00016E88"/>
    <w:rsid w:val="00041A84"/>
    <w:rsid w:val="00042F21"/>
    <w:rsid w:val="0005690A"/>
    <w:rsid w:val="00075F28"/>
    <w:rsid w:val="000A1B66"/>
    <w:rsid w:val="000C3A9F"/>
    <w:rsid w:val="000C76EE"/>
    <w:rsid w:val="0010462F"/>
    <w:rsid w:val="00124A1B"/>
    <w:rsid w:val="00167D25"/>
    <w:rsid w:val="001C5EB9"/>
    <w:rsid w:val="001D54C2"/>
    <w:rsid w:val="00203F92"/>
    <w:rsid w:val="002B6FA7"/>
    <w:rsid w:val="002D7ECA"/>
    <w:rsid w:val="002F56E6"/>
    <w:rsid w:val="003118C8"/>
    <w:rsid w:val="0037336F"/>
    <w:rsid w:val="003A4FB4"/>
    <w:rsid w:val="003B7AF1"/>
    <w:rsid w:val="003D2A8F"/>
    <w:rsid w:val="003D5288"/>
    <w:rsid w:val="00446CEF"/>
    <w:rsid w:val="00450DB9"/>
    <w:rsid w:val="00463568"/>
    <w:rsid w:val="004A3491"/>
    <w:rsid w:val="004D0F1A"/>
    <w:rsid w:val="0052024E"/>
    <w:rsid w:val="00542A82"/>
    <w:rsid w:val="0055217B"/>
    <w:rsid w:val="00564213"/>
    <w:rsid w:val="005A4F32"/>
    <w:rsid w:val="005B6DDD"/>
    <w:rsid w:val="006326D7"/>
    <w:rsid w:val="00670F05"/>
    <w:rsid w:val="006C132E"/>
    <w:rsid w:val="006D0C96"/>
    <w:rsid w:val="006F171C"/>
    <w:rsid w:val="0070537F"/>
    <w:rsid w:val="00712921"/>
    <w:rsid w:val="00733CBB"/>
    <w:rsid w:val="00746C1F"/>
    <w:rsid w:val="00751A44"/>
    <w:rsid w:val="00796A7F"/>
    <w:rsid w:val="00855006"/>
    <w:rsid w:val="00874288"/>
    <w:rsid w:val="008A2ADA"/>
    <w:rsid w:val="008B44D5"/>
    <w:rsid w:val="008B719F"/>
    <w:rsid w:val="008E213F"/>
    <w:rsid w:val="008E3110"/>
    <w:rsid w:val="00913CC6"/>
    <w:rsid w:val="009150E4"/>
    <w:rsid w:val="0091791F"/>
    <w:rsid w:val="00932F15"/>
    <w:rsid w:val="00943440"/>
    <w:rsid w:val="00993BA1"/>
    <w:rsid w:val="009D38E2"/>
    <w:rsid w:val="009E184E"/>
    <w:rsid w:val="009F2C0A"/>
    <w:rsid w:val="00A17EED"/>
    <w:rsid w:val="00A40D3F"/>
    <w:rsid w:val="00A61BF3"/>
    <w:rsid w:val="00AB565E"/>
    <w:rsid w:val="00AE4157"/>
    <w:rsid w:val="00AF78DC"/>
    <w:rsid w:val="00B4015F"/>
    <w:rsid w:val="00B5719D"/>
    <w:rsid w:val="00B62878"/>
    <w:rsid w:val="00B75342"/>
    <w:rsid w:val="00B91ECA"/>
    <w:rsid w:val="00B94A58"/>
    <w:rsid w:val="00BB24ED"/>
    <w:rsid w:val="00BD0523"/>
    <w:rsid w:val="00C1589F"/>
    <w:rsid w:val="00C26311"/>
    <w:rsid w:val="00C35812"/>
    <w:rsid w:val="00C66015"/>
    <w:rsid w:val="00C82F79"/>
    <w:rsid w:val="00C9175F"/>
    <w:rsid w:val="00CC51D0"/>
    <w:rsid w:val="00CD59BA"/>
    <w:rsid w:val="00D40CE0"/>
    <w:rsid w:val="00DB4E53"/>
    <w:rsid w:val="00E00253"/>
    <w:rsid w:val="00E00339"/>
    <w:rsid w:val="00E142A8"/>
    <w:rsid w:val="00E861A5"/>
    <w:rsid w:val="00ED6B96"/>
    <w:rsid w:val="00EE58C0"/>
    <w:rsid w:val="00F35903"/>
    <w:rsid w:val="00F40792"/>
    <w:rsid w:val="00F512A5"/>
    <w:rsid w:val="00F5258E"/>
    <w:rsid w:val="00F64C9C"/>
    <w:rsid w:val="00FA7DF0"/>
    <w:rsid w:val="00FD0EF2"/>
    <w:rsid w:val="00FF30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DBE553"/>
  <w15:docId w15:val="{D2CFD17B-36C5-4048-BB43-0059F9DAD1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SimSun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40CE0"/>
    <w:pPr>
      <w:spacing w:line="360" w:lineRule="auto"/>
      <w:jc w:val="both"/>
    </w:pPr>
    <w:rPr>
      <w:rFonts w:ascii="Times New Roman" w:eastAsia="Times New Roman" w:hAnsi="Times New Roman"/>
      <w:szCs w:val="24"/>
      <w:lang w:eastAsia="de-DE"/>
    </w:rPr>
  </w:style>
  <w:style w:type="paragraph" w:styleId="Heading1">
    <w:name w:val="heading 1"/>
    <w:basedOn w:val="Normal"/>
    <w:next w:val="Normal"/>
    <w:link w:val="Heading1Char"/>
    <w:qFormat/>
    <w:rsid w:val="00075F28"/>
    <w:pPr>
      <w:keepNext/>
      <w:spacing w:before="480" w:after="240" w:line="240" w:lineRule="auto"/>
      <w:outlineLvl w:val="0"/>
    </w:pPr>
    <w:rPr>
      <w:rFonts w:cs="Arial"/>
      <w:b/>
      <w:bCs/>
      <w:color w:val="000000"/>
      <w:kern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E00339"/>
    <w:pPr>
      <w:keepNext/>
      <w:spacing w:before="240" w:after="240" w:line="240" w:lineRule="auto"/>
      <w:outlineLvl w:val="1"/>
    </w:pPr>
    <w:rPr>
      <w:rFonts w:cs="Arial"/>
      <w:b/>
      <w:bCs/>
      <w:iCs/>
      <w:szCs w:val="28"/>
    </w:rPr>
  </w:style>
  <w:style w:type="paragraph" w:styleId="Heading3">
    <w:name w:val="heading 3"/>
    <w:basedOn w:val="Normal"/>
    <w:next w:val="Normal"/>
    <w:link w:val="Heading3Char"/>
    <w:qFormat/>
    <w:rsid w:val="005A4F32"/>
    <w:pPr>
      <w:keepNext/>
      <w:spacing w:before="240" w:after="240" w:line="240" w:lineRule="auto"/>
      <w:outlineLvl w:val="2"/>
    </w:pPr>
    <w:rPr>
      <w:rFonts w:cs="Arial"/>
      <w:b/>
      <w:bCs/>
      <w:szCs w:val="26"/>
    </w:rPr>
  </w:style>
  <w:style w:type="paragraph" w:styleId="Heading4">
    <w:name w:val="heading 4"/>
    <w:basedOn w:val="Normal"/>
    <w:next w:val="Normal"/>
    <w:link w:val="Heading4Char"/>
    <w:rsid w:val="00ED6B96"/>
    <w:pPr>
      <w:keepNext/>
      <w:outlineLvl w:val="3"/>
    </w:pPr>
    <w:rPr>
      <w:b/>
      <w:bCs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etreff">
    <w:name w:val="Betreff"/>
    <w:basedOn w:val="Normal"/>
    <w:next w:val="Normal"/>
    <w:rsid w:val="00ED6B96"/>
    <w:rPr>
      <w:b/>
    </w:rPr>
  </w:style>
  <w:style w:type="paragraph" w:customStyle="1" w:styleId="Bullets">
    <w:name w:val="Bullets"/>
    <w:basedOn w:val="Normal"/>
    <w:link w:val="BulletsChar"/>
    <w:rsid w:val="00ED6B96"/>
    <w:pPr>
      <w:numPr>
        <w:numId w:val="2"/>
      </w:numPr>
    </w:pPr>
  </w:style>
  <w:style w:type="character" w:customStyle="1" w:styleId="BulletsChar">
    <w:name w:val="Bullets Char"/>
    <w:link w:val="Bullets"/>
    <w:rsid w:val="00ED6B96"/>
    <w:rPr>
      <w:rFonts w:ascii="Verdana" w:eastAsia="Times New Roman" w:hAnsi="Verdana" w:cs="Times New Roman"/>
      <w:sz w:val="19"/>
      <w:szCs w:val="24"/>
      <w:lang w:eastAsia="de-DE"/>
    </w:rPr>
  </w:style>
  <w:style w:type="table" w:customStyle="1" w:styleId="Copernicus">
    <w:name w:val="Copernicus"/>
    <w:basedOn w:val="TableNormal"/>
    <w:rsid w:val="00ED6B96"/>
    <w:rPr>
      <w:rFonts w:ascii="Verdana" w:eastAsia="Times New Roman" w:hAnsi="Verdana"/>
      <w:sz w:val="19"/>
    </w:rPr>
    <w:tblPr>
      <w:tblStyleRowBandSize w:val="1"/>
      <w:tblStyleColBandSize w:val="1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</w:tblPr>
    <w:tcPr>
      <w:shd w:val="clear" w:color="auto" w:fill="auto"/>
      <w:vAlign w:val="center"/>
    </w:tcPr>
    <w:tblStylePr w:type="firstRow">
      <w:pPr>
        <w:jc w:val="left"/>
      </w:pPr>
      <w:rPr>
        <w:rFonts w:ascii="Verdana" w:hAnsi="Verdana"/>
        <w:b/>
        <w:i w:val="0"/>
        <w:sz w:val="19"/>
      </w:rPr>
      <w:tblPr/>
      <w:tcPr>
        <w:shd w:val="clear" w:color="auto" w:fill="BFBFBF"/>
      </w:tcPr>
    </w:tblStylePr>
    <w:tblStylePr w:type="lastRow">
      <w:pPr>
        <w:jc w:val="left"/>
      </w:pPr>
      <w:rPr>
        <w:rFonts w:ascii="Verdana" w:hAnsi="Verdana"/>
        <w:sz w:val="19"/>
      </w:rPr>
    </w:tblStylePr>
    <w:tblStylePr w:type="firstCol">
      <w:rPr>
        <w:rFonts w:ascii="Verdana" w:hAnsi="Verdana"/>
        <w:sz w:val="19"/>
      </w:rPr>
    </w:tblStylePr>
    <w:tblStylePr w:type="lastCol">
      <w:rPr>
        <w:rFonts w:ascii="Verdana" w:hAnsi="Verdana"/>
        <w:sz w:val="19"/>
      </w:rPr>
      <w:tblPr/>
      <w:tcPr>
        <w:tc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cBorders>
      </w:tcPr>
    </w:tblStylePr>
  </w:style>
  <w:style w:type="paragraph" w:styleId="Header">
    <w:name w:val="header"/>
    <w:basedOn w:val="Normal"/>
    <w:link w:val="HeaderChar"/>
    <w:rsid w:val="00ED6B96"/>
    <w:pPr>
      <w:tabs>
        <w:tab w:val="center" w:pos="4536"/>
        <w:tab w:val="right" w:pos="9072"/>
      </w:tabs>
    </w:pPr>
  </w:style>
  <w:style w:type="character" w:customStyle="1" w:styleId="Heading1Char">
    <w:name w:val="Heading 1 Char"/>
    <w:link w:val="Heading1"/>
    <w:rsid w:val="00075F28"/>
    <w:rPr>
      <w:rFonts w:ascii="Times New Roman" w:eastAsia="Times New Roman" w:hAnsi="Times New Roman" w:cs="Arial"/>
      <w:b/>
      <w:bCs/>
      <w:color w:val="000000"/>
      <w:kern w:val="32"/>
      <w:szCs w:val="32"/>
      <w:lang w:eastAsia="de-DE"/>
    </w:rPr>
  </w:style>
  <w:style w:type="character" w:customStyle="1" w:styleId="Heading3Char">
    <w:name w:val="Heading 3 Char"/>
    <w:link w:val="Heading3"/>
    <w:rsid w:val="005A4F32"/>
    <w:rPr>
      <w:rFonts w:ascii="Times New Roman" w:eastAsia="Times New Roman" w:hAnsi="Times New Roman" w:cs="Arial"/>
      <w:b/>
      <w:bCs/>
      <w:szCs w:val="26"/>
      <w:lang w:eastAsia="de-DE"/>
    </w:rPr>
  </w:style>
  <w:style w:type="character" w:customStyle="1" w:styleId="Heading4Char">
    <w:name w:val="Heading 4 Char"/>
    <w:link w:val="Heading4"/>
    <w:rsid w:val="00796A7F"/>
    <w:rPr>
      <w:rFonts w:ascii="Verdana" w:eastAsia="Times New Roman" w:hAnsi="Verdana" w:cs="Times New Roman"/>
      <w:b/>
      <w:bCs/>
      <w:sz w:val="19"/>
      <w:szCs w:val="28"/>
      <w:lang w:eastAsia="de-DE"/>
    </w:rPr>
  </w:style>
  <w:style w:type="character" w:customStyle="1" w:styleId="HeaderChar">
    <w:name w:val="Header Char"/>
    <w:link w:val="Header"/>
    <w:rsid w:val="00ED6B96"/>
    <w:rPr>
      <w:rFonts w:ascii="Verdana" w:eastAsia="Times New Roman" w:hAnsi="Verdana" w:cs="Times New Roman"/>
      <w:sz w:val="19"/>
      <w:szCs w:val="24"/>
      <w:lang w:eastAsia="de-DE"/>
    </w:rPr>
  </w:style>
  <w:style w:type="character" w:customStyle="1" w:styleId="Heading2Char">
    <w:name w:val="Heading 2 Char"/>
    <w:link w:val="Heading2"/>
    <w:rsid w:val="00E00339"/>
    <w:rPr>
      <w:rFonts w:ascii="Times New Roman" w:eastAsia="Times New Roman" w:hAnsi="Times New Roman" w:cs="Arial"/>
      <w:b/>
      <w:bCs/>
      <w:iCs/>
      <w:szCs w:val="28"/>
      <w:lang w:eastAsia="de-DE"/>
    </w:rPr>
  </w:style>
  <w:style w:type="character" w:styleId="Hyperlink">
    <w:name w:val="Hyperlink"/>
    <w:rsid w:val="00ED6B96"/>
    <w:rPr>
      <w:color w:val="0000FF"/>
      <w:u w:val="single"/>
    </w:rPr>
  </w:style>
  <w:style w:type="paragraph" w:customStyle="1" w:styleId="Kontakt">
    <w:name w:val="Kontakt"/>
    <w:basedOn w:val="Normal"/>
    <w:rsid w:val="00ED6B96"/>
    <w:pPr>
      <w:spacing w:line="160" w:lineRule="exact"/>
    </w:pPr>
    <w:rPr>
      <w:color w:val="808080"/>
      <w:sz w:val="13"/>
    </w:rPr>
  </w:style>
  <w:style w:type="paragraph" w:customStyle="1" w:styleId="Name">
    <w:name w:val="Name"/>
    <w:basedOn w:val="Normal"/>
    <w:rsid w:val="00ED6B96"/>
    <w:pPr>
      <w:spacing w:before="160" w:after="80"/>
    </w:pPr>
    <w:rPr>
      <w:rFonts w:ascii="Book Antiqua" w:hAnsi="Book Antiqua"/>
      <w:color w:val="808080"/>
      <w:sz w:val="22"/>
    </w:rPr>
  </w:style>
  <w:style w:type="paragraph" w:customStyle="1" w:styleId="CopernicusWordtemplate">
    <w:name w:val="Copernicus_Word_template"/>
    <w:basedOn w:val="Normal"/>
    <w:link w:val="CopernicusWordtemplateChar"/>
    <w:rsid w:val="00B5719D"/>
  </w:style>
  <w:style w:type="character" w:customStyle="1" w:styleId="CopernicusWordtemplateChar">
    <w:name w:val="Copernicus_Word_template Char"/>
    <w:basedOn w:val="DefaultParagraphFont"/>
    <w:link w:val="CopernicusWordtemplate"/>
    <w:rsid w:val="00B5719D"/>
    <w:rPr>
      <w:rFonts w:ascii="Times New Roman" w:eastAsia="Times New Roman" w:hAnsi="Times New Roman"/>
      <w:sz w:val="24"/>
      <w:szCs w:val="24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D40CE0"/>
  </w:style>
  <w:style w:type="paragraph" w:customStyle="1" w:styleId="MStitle">
    <w:name w:val="MS title"/>
    <w:basedOn w:val="Normal"/>
    <w:link w:val="MStitleChar"/>
    <w:qFormat/>
    <w:rsid w:val="0091791F"/>
    <w:pPr>
      <w:spacing w:before="360" w:line="440" w:lineRule="exact"/>
      <w:contextualSpacing/>
    </w:pPr>
    <w:rPr>
      <w:b/>
      <w:sz w:val="34"/>
    </w:rPr>
  </w:style>
  <w:style w:type="paragraph" w:styleId="ListParagraph">
    <w:name w:val="List Paragraph"/>
    <w:basedOn w:val="Normal"/>
    <w:uiPriority w:val="34"/>
    <w:rsid w:val="00B4015F"/>
    <w:pPr>
      <w:ind w:left="720"/>
      <w:contextualSpacing/>
    </w:pPr>
  </w:style>
  <w:style w:type="character" w:customStyle="1" w:styleId="MStitleChar">
    <w:name w:val="MS title Char"/>
    <w:basedOn w:val="DefaultParagraphFont"/>
    <w:link w:val="MStitle"/>
    <w:rsid w:val="0091791F"/>
    <w:rPr>
      <w:rFonts w:ascii="Times New Roman" w:eastAsia="Times New Roman" w:hAnsi="Times New Roman"/>
      <w:b/>
      <w:sz w:val="34"/>
      <w:szCs w:val="24"/>
      <w:lang w:eastAsia="de-DE"/>
    </w:rPr>
  </w:style>
  <w:style w:type="paragraph" w:customStyle="1" w:styleId="Affiliation">
    <w:name w:val="Affiliation"/>
    <w:basedOn w:val="Normal"/>
    <w:link w:val="AffiliationChar"/>
    <w:qFormat/>
    <w:rsid w:val="00450DB9"/>
    <w:pPr>
      <w:spacing w:before="120" w:line="240" w:lineRule="auto"/>
      <w:contextualSpacing/>
    </w:pPr>
  </w:style>
  <w:style w:type="character" w:styleId="PlaceholderText">
    <w:name w:val="Placeholder Text"/>
    <w:basedOn w:val="DefaultParagraphFont"/>
    <w:uiPriority w:val="99"/>
    <w:semiHidden/>
    <w:rsid w:val="003D5288"/>
    <w:rPr>
      <w:color w:val="808080"/>
    </w:rPr>
  </w:style>
  <w:style w:type="character" w:customStyle="1" w:styleId="AffiliationChar">
    <w:name w:val="Affiliation Char"/>
    <w:basedOn w:val="DefaultParagraphFont"/>
    <w:link w:val="Affiliation"/>
    <w:rsid w:val="00450DB9"/>
    <w:rPr>
      <w:rFonts w:ascii="Times New Roman" w:eastAsia="Times New Roman" w:hAnsi="Times New Roman"/>
      <w:szCs w:val="24"/>
      <w:lang w:eastAsia="de-D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D528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5288"/>
    <w:rPr>
      <w:rFonts w:ascii="Tahoma" w:eastAsia="Times New Roman" w:hAnsi="Tahoma" w:cs="Tahoma"/>
      <w:sz w:val="16"/>
      <w:szCs w:val="16"/>
      <w:lang w:eastAsia="de-DE"/>
    </w:rPr>
  </w:style>
  <w:style w:type="paragraph" w:customStyle="1" w:styleId="Equation">
    <w:name w:val="Equation"/>
    <w:basedOn w:val="Normal"/>
    <w:link w:val="EquationChar"/>
    <w:rsid w:val="00C35812"/>
    <w:pPr>
      <w:spacing w:before="120" w:after="120"/>
    </w:pPr>
    <w:rPr>
      <w:rFonts w:ascii="Cambria Math" w:hAnsi="Cambria Math"/>
    </w:rPr>
  </w:style>
  <w:style w:type="paragraph" w:styleId="Caption">
    <w:name w:val="caption"/>
    <w:basedOn w:val="Normal"/>
    <w:next w:val="Normal"/>
    <w:uiPriority w:val="35"/>
    <w:unhideWhenUsed/>
    <w:qFormat/>
    <w:rsid w:val="003A4FB4"/>
    <w:pPr>
      <w:spacing w:after="200" w:line="240" w:lineRule="auto"/>
    </w:pPr>
    <w:rPr>
      <w:b/>
      <w:bCs/>
      <w:sz w:val="18"/>
      <w:szCs w:val="18"/>
    </w:rPr>
  </w:style>
  <w:style w:type="character" w:customStyle="1" w:styleId="EquationChar">
    <w:name w:val="Equation Char"/>
    <w:basedOn w:val="DefaultParagraphFont"/>
    <w:link w:val="Equation"/>
    <w:rsid w:val="00C35812"/>
    <w:rPr>
      <w:rFonts w:ascii="Cambria Math" w:eastAsia="Times New Roman" w:hAnsi="Cambria Math"/>
      <w:szCs w:val="24"/>
      <w:lang w:eastAsia="de-DE"/>
    </w:rPr>
  </w:style>
  <w:style w:type="paragraph" w:styleId="Footer">
    <w:name w:val="footer"/>
    <w:basedOn w:val="Normal"/>
    <w:link w:val="FooterChar"/>
    <w:uiPriority w:val="99"/>
    <w:unhideWhenUsed/>
    <w:rsid w:val="006D0C96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D0C96"/>
    <w:rPr>
      <w:rFonts w:ascii="Times New Roman" w:eastAsia="Times New Roman" w:hAnsi="Times New Roman"/>
      <w:szCs w:val="24"/>
      <w:lang w:eastAsia="de-DE"/>
    </w:rPr>
  </w:style>
  <w:style w:type="paragraph" w:customStyle="1" w:styleId="Correspondence">
    <w:name w:val="Correspondence"/>
    <w:basedOn w:val="Normal"/>
    <w:link w:val="CorrespondenceChar"/>
    <w:qFormat/>
    <w:rsid w:val="008E213F"/>
    <w:pPr>
      <w:spacing w:before="120" w:after="360" w:line="240" w:lineRule="auto"/>
    </w:pPr>
  </w:style>
  <w:style w:type="character" w:customStyle="1" w:styleId="CorrespondenceChar">
    <w:name w:val="Correspondence Char"/>
    <w:basedOn w:val="DefaultParagraphFont"/>
    <w:link w:val="Correspondence"/>
    <w:rsid w:val="008E213F"/>
    <w:rPr>
      <w:rFonts w:ascii="Times New Roman" w:eastAsia="Times New Roman" w:hAnsi="Times New Roman"/>
      <w:szCs w:val="24"/>
      <w:lang w:eastAsia="de-DE"/>
    </w:rPr>
  </w:style>
  <w:style w:type="paragraph" w:customStyle="1" w:styleId="Authors">
    <w:name w:val="Authors"/>
    <w:basedOn w:val="Normal"/>
    <w:link w:val="AuthorsChar"/>
    <w:qFormat/>
    <w:rsid w:val="00BD0523"/>
    <w:pPr>
      <w:spacing w:before="180" w:line="240" w:lineRule="auto"/>
      <w:contextualSpacing/>
    </w:pPr>
    <w:rPr>
      <w:sz w:val="24"/>
    </w:rPr>
  </w:style>
  <w:style w:type="character" w:customStyle="1" w:styleId="AuthorsChar">
    <w:name w:val="Authors Char"/>
    <w:basedOn w:val="DefaultParagraphFont"/>
    <w:link w:val="Authors"/>
    <w:rsid w:val="00BD0523"/>
    <w:rPr>
      <w:rFonts w:ascii="Times New Roman" w:eastAsia="Times New Roman" w:hAnsi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069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031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783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CopernicusTemplates\Free-Forms\Blank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Copernicus_Word_template">
      <a:majorFont>
        <a:latin typeface="Times New Roman"/>
        <a:ea typeface=""/>
        <a:cs typeface=""/>
      </a:majorFont>
      <a:minorFont>
        <a:latin typeface="Times New Roman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B40C21-5E50-4E9E-92ED-FD3B5737D5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Blank</Template>
  <TotalTime>1</TotalTime>
  <Pages>1</Pages>
  <Words>490</Words>
  <Characters>2795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Blank</vt:lpstr>
    </vt:vector>
  </TitlesOfParts>
  <Company>Copernicus Gesellschaft mbH</Company>
  <LinksUpToDate>false</LinksUpToDate>
  <CharactersWithSpaces>3279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Blank</dc:title>
  <dc:creator>Martin Rasmussen</dc:creator>
  <cp:lastModifiedBy>Reviewer</cp:lastModifiedBy>
  <cp:revision>4</cp:revision>
  <cp:lastPrinted>2016-02-01T07:21:00Z</cp:lastPrinted>
  <dcterms:created xsi:type="dcterms:W3CDTF">2025-01-23T09:45:00Z</dcterms:created>
  <dcterms:modified xsi:type="dcterms:W3CDTF">2025-03-31T09:41:00Z</dcterms:modified>
</cp:coreProperties>
</file>