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6E534" w14:textId="16EE191C" w:rsidR="00E729E3" w:rsidRPr="00E4462A" w:rsidRDefault="00043193" w:rsidP="00E729E3">
      <w:pPr>
        <w:spacing w:line="360" w:lineRule="auto"/>
        <w:jc w:val="center"/>
        <w:rPr>
          <w:b/>
          <w:lang w:val="en-GB"/>
        </w:rPr>
      </w:pPr>
      <w:r w:rsidRPr="00E4462A">
        <w:rPr>
          <w:b/>
          <w:lang w:val="en-GB"/>
        </w:rPr>
        <w:t>Molecular characterization of dissolved organic matter from subtropical wetlands:</w:t>
      </w:r>
    </w:p>
    <w:p w14:paraId="2766E3E3" w14:textId="6283F07A" w:rsidR="00043193" w:rsidRPr="00E4462A" w:rsidRDefault="00043193" w:rsidP="00E729E3">
      <w:pPr>
        <w:spacing w:line="360" w:lineRule="auto"/>
        <w:jc w:val="center"/>
        <w:rPr>
          <w:b/>
          <w:lang w:val="en-GB"/>
        </w:rPr>
      </w:pPr>
      <w:r w:rsidRPr="00E4462A">
        <w:rPr>
          <w:b/>
          <w:lang w:val="en-GB"/>
        </w:rPr>
        <w:t>A comparative study through the analysis of optical properties, NMR and FTICR/MS.</w:t>
      </w:r>
    </w:p>
    <w:p w14:paraId="31413529" w14:textId="77777777" w:rsidR="00043193" w:rsidRPr="00E4462A" w:rsidRDefault="00043193" w:rsidP="0004351C">
      <w:pPr>
        <w:spacing w:line="360" w:lineRule="auto"/>
        <w:jc w:val="center"/>
        <w:rPr>
          <w:lang w:val="en-GB"/>
        </w:rPr>
      </w:pPr>
    </w:p>
    <w:p w14:paraId="2DA13A7D" w14:textId="77777777" w:rsidR="00043193" w:rsidRPr="00E4462A" w:rsidRDefault="00043193" w:rsidP="0004351C">
      <w:pPr>
        <w:spacing w:line="360" w:lineRule="auto"/>
        <w:jc w:val="center"/>
        <w:outlineLvl w:val="0"/>
      </w:pPr>
      <w:r w:rsidRPr="00E4462A">
        <w:t>N. Hertkorn</w:t>
      </w:r>
      <w:r w:rsidRPr="00E4462A">
        <w:rPr>
          <w:vertAlign w:val="superscript"/>
        </w:rPr>
        <w:t>1</w:t>
      </w:r>
      <w:r w:rsidRPr="00E4462A">
        <w:t>, M. Harir</w:t>
      </w:r>
      <w:r w:rsidRPr="00E4462A">
        <w:rPr>
          <w:vertAlign w:val="superscript"/>
        </w:rPr>
        <w:t>1</w:t>
      </w:r>
      <w:r w:rsidRPr="00E4462A">
        <w:t>, K</w:t>
      </w:r>
      <w:r w:rsidR="00513DC4" w:rsidRPr="00E4462A">
        <w:t xml:space="preserve">. </w:t>
      </w:r>
      <w:r w:rsidRPr="00E4462A">
        <w:t>M. Cawley</w:t>
      </w:r>
      <w:r w:rsidRPr="00E4462A">
        <w:rPr>
          <w:vertAlign w:val="superscript"/>
        </w:rPr>
        <w:t>2</w:t>
      </w:r>
      <w:r w:rsidRPr="00E4462A">
        <w:t>, P. Schmitt-Kopplin</w:t>
      </w:r>
      <w:r w:rsidRPr="00E4462A">
        <w:rPr>
          <w:vertAlign w:val="superscript"/>
        </w:rPr>
        <w:t>1</w:t>
      </w:r>
      <w:r w:rsidRPr="00E4462A">
        <w:t>, R. Jaffé</w:t>
      </w:r>
      <w:r w:rsidRPr="00E4462A">
        <w:rPr>
          <w:vertAlign w:val="superscript"/>
        </w:rPr>
        <w:t>2</w:t>
      </w:r>
      <w:r w:rsidR="0078242C" w:rsidRPr="00E4462A">
        <w:rPr>
          <w:vertAlign w:val="superscript"/>
        </w:rPr>
        <w:t>*</w:t>
      </w:r>
    </w:p>
    <w:p w14:paraId="1D4DAA06" w14:textId="77777777" w:rsidR="00043193" w:rsidRPr="00E4462A" w:rsidRDefault="00043193" w:rsidP="008B22B1">
      <w:pPr>
        <w:pStyle w:val="BCAuthorAddress"/>
        <w:spacing w:after="0" w:line="360" w:lineRule="auto"/>
        <w:jc w:val="both"/>
        <w:rPr>
          <w:szCs w:val="24"/>
          <w:vertAlign w:val="superscript"/>
          <w:lang w:val="de-DE" w:eastAsia="zh-CN"/>
        </w:rPr>
      </w:pPr>
    </w:p>
    <w:p w14:paraId="47806F23" w14:textId="77777777" w:rsidR="00043193" w:rsidRPr="00E4462A" w:rsidRDefault="00043193" w:rsidP="008B22B1">
      <w:pPr>
        <w:pStyle w:val="BCAuthorAddress"/>
        <w:spacing w:after="0" w:line="360" w:lineRule="auto"/>
        <w:ind w:left="360" w:hanging="360"/>
        <w:jc w:val="both"/>
        <w:rPr>
          <w:szCs w:val="24"/>
          <w:lang w:val="en-GB"/>
        </w:rPr>
      </w:pPr>
      <w:r w:rsidRPr="00E4462A">
        <w:rPr>
          <w:szCs w:val="24"/>
          <w:vertAlign w:val="superscript"/>
          <w:lang w:val="en-GB"/>
        </w:rPr>
        <w:t>1</w:t>
      </w:r>
      <w:r w:rsidRPr="00E4462A">
        <w:rPr>
          <w:szCs w:val="24"/>
          <w:lang w:val="en-GB"/>
        </w:rPr>
        <w:tab/>
        <w:t>Helmholtz Zentrum Muenchen, German Research Center for Environmental Health, Research Unit Analytical Biogeochemistry (BGC), Ingolstaedter Landstrasse 1, D-85764 Neuherberg, Germany</w:t>
      </w:r>
    </w:p>
    <w:p w14:paraId="25346C15" w14:textId="77777777" w:rsidR="0078242C" w:rsidRPr="00E4462A" w:rsidRDefault="00043193" w:rsidP="0078242C">
      <w:pPr>
        <w:spacing w:line="360" w:lineRule="auto"/>
        <w:ind w:left="360" w:hanging="360"/>
        <w:jc w:val="both"/>
        <w:rPr>
          <w:lang w:val="en-GB"/>
        </w:rPr>
      </w:pPr>
      <w:r w:rsidRPr="00E4462A">
        <w:rPr>
          <w:vertAlign w:val="superscript"/>
          <w:lang w:val="en-GB"/>
        </w:rPr>
        <w:t>2</w:t>
      </w:r>
      <w:r w:rsidRPr="00E4462A">
        <w:rPr>
          <w:lang w:val="en-GB"/>
        </w:rPr>
        <w:tab/>
        <w:t>Southeast Environmental Research Center, and Department of Chemistry and Biochemistry, Florida International University, 11200 SW 8th Street, Miami, FL 33199, USA</w:t>
      </w:r>
    </w:p>
    <w:p w14:paraId="6723175A" w14:textId="77777777" w:rsidR="0078242C" w:rsidRPr="00E4462A" w:rsidRDefault="0078242C" w:rsidP="0078242C">
      <w:pPr>
        <w:spacing w:line="360" w:lineRule="auto"/>
        <w:ind w:left="360" w:hanging="360"/>
        <w:jc w:val="both"/>
        <w:rPr>
          <w:lang w:val="en-GB"/>
        </w:rPr>
      </w:pPr>
    </w:p>
    <w:p w14:paraId="4843BA9A" w14:textId="77777777" w:rsidR="0078242C" w:rsidRPr="00E4462A" w:rsidRDefault="0078242C" w:rsidP="008B22B1">
      <w:pPr>
        <w:spacing w:line="360" w:lineRule="auto"/>
        <w:ind w:left="360" w:hanging="360"/>
        <w:jc w:val="both"/>
        <w:rPr>
          <w:lang w:val="en-GB"/>
        </w:rPr>
      </w:pPr>
      <w:r w:rsidRPr="00E4462A">
        <w:rPr>
          <w:lang w:val="en-GB"/>
        </w:rPr>
        <w:t xml:space="preserve">* Corresponding author: R. </w:t>
      </w:r>
      <w:r w:rsidR="006A3E8A" w:rsidRPr="00E4462A">
        <w:rPr>
          <w:lang w:val="en-GB"/>
        </w:rPr>
        <w:t>Jaffé</w:t>
      </w:r>
      <w:r w:rsidRPr="00E4462A">
        <w:rPr>
          <w:lang w:val="en-GB"/>
        </w:rPr>
        <w:t xml:space="preserve"> (</w:t>
      </w:r>
      <w:hyperlink r:id="rId8" w:history="1">
        <w:r w:rsidR="009D61A0" w:rsidRPr="00E4462A">
          <w:rPr>
            <w:rStyle w:val="Hyperlink"/>
            <w:lang w:val="en-GB"/>
          </w:rPr>
          <w:t>jaffer@fiu.edu</w:t>
        </w:r>
      </w:hyperlink>
      <w:r w:rsidR="009D61A0" w:rsidRPr="00E4462A">
        <w:rPr>
          <w:lang w:val="en-GB"/>
        </w:rPr>
        <w:t>; 305.348.2456</w:t>
      </w:r>
      <w:r w:rsidRPr="00E4462A">
        <w:rPr>
          <w:lang w:val="en-GB"/>
        </w:rPr>
        <w:t>)</w:t>
      </w:r>
    </w:p>
    <w:p w14:paraId="695A76CA" w14:textId="77777777" w:rsidR="00043193" w:rsidRPr="00E4462A" w:rsidRDefault="00043193" w:rsidP="008B22B1">
      <w:pPr>
        <w:spacing w:line="360" w:lineRule="auto"/>
        <w:ind w:left="360" w:hanging="360"/>
        <w:jc w:val="both"/>
        <w:rPr>
          <w:lang w:val="en-GB"/>
        </w:rPr>
      </w:pPr>
    </w:p>
    <w:p w14:paraId="4E8C2336" w14:textId="77777777" w:rsidR="00043193" w:rsidRPr="00E4462A" w:rsidRDefault="00043193" w:rsidP="008B22B1">
      <w:pPr>
        <w:spacing w:line="360" w:lineRule="auto"/>
        <w:jc w:val="both"/>
        <w:rPr>
          <w:lang w:val="en-US"/>
        </w:rPr>
      </w:pPr>
      <w:bookmarkStart w:id="0" w:name="_GoBack"/>
      <w:bookmarkEnd w:id="0"/>
    </w:p>
    <w:p w14:paraId="3E0DA08F" w14:textId="560137BC" w:rsidR="00F96AB4" w:rsidRPr="00E4462A" w:rsidRDefault="00F96AB4" w:rsidP="00F96AB4">
      <w:pPr>
        <w:spacing w:afterLines="60" w:after="144" w:line="360" w:lineRule="auto"/>
        <w:jc w:val="both"/>
        <w:rPr>
          <w:lang w:val="en-GB"/>
        </w:rPr>
      </w:pPr>
      <w:r w:rsidRPr="00E4462A">
        <w:rPr>
          <w:b/>
          <w:lang w:val="en-GB"/>
        </w:rPr>
        <w:t>Abstract:</w:t>
      </w:r>
      <w:r w:rsidRPr="00E4462A">
        <w:rPr>
          <w:lang w:val="en-GB"/>
        </w:rPr>
        <w:t xml:space="preserve"> Wetlands provide quintessential ecosystem services such as maintenance of water quality, water supply and biodiversity, among others; however, wetlands are also among the most threatened ecosystems worldwide. Natural dissolved organic matter (DOM) is an abundant and critical component in wetland biogeochemistry. This study describes the first detailed, comparative, molecular characterization of DOM in sub-tropical, pulsed, wetlands, namely the Everglades (USA), the Pantanal (Brazil) and the Okavango Delta (Botswana), using optical properties, high field nuclear magnetic resonance (NMR) and ultrahigh resolution mass spectrometry (FT-ICRMS), and compares compositional features to variations in organic matter sources and flooding characteristics (i.e. differences in hydroperiod). While optical properties showed </w:t>
      </w:r>
      <w:r w:rsidR="003D39C5" w:rsidRPr="00E4462A">
        <w:rPr>
          <w:lang w:val="en-GB"/>
        </w:rPr>
        <w:t>a high degree of variability within and between the three wetlands,</w:t>
      </w:r>
      <w:r w:rsidRPr="00E4462A">
        <w:rPr>
          <w:lang w:val="en-GB"/>
        </w:rPr>
        <w:t xml:space="preserve"> </w:t>
      </w:r>
      <w:r w:rsidR="003D39C5" w:rsidRPr="00E4462A">
        <w:rPr>
          <w:lang w:val="en-GB"/>
        </w:rPr>
        <w:t>a</w:t>
      </w:r>
      <w:r w:rsidRPr="00E4462A">
        <w:rPr>
          <w:lang w:val="en-GB"/>
        </w:rPr>
        <w:t xml:space="preserve">nalogies </w:t>
      </w:r>
      <w:r w:rsidR="003D39C5" w:rsidRPr="00E4462A">
        <w:rPr>
          <w:lang w:val="en-GB"/>
        </w:rPr>
        <w:t xml:space="preserve">in DOM fluorescence properties </w:t>
      </w:r>
      <w:r w:rsidRPr="00E4462A">
        <w:rPr>
          <w:lang w:val="en-GB"/>
        </w:rPr>
        <w:t xml:space="preserve">were such that an established excitation emission matrix fluorescence parallel factor analysis (EEM-PARAFAC) model for the Everglades was perfectly applicable to the other two wetlands. </w:t>
      </w:r>
      <w:r w:rsidRPr="00E4462A">
        <w:rPr>
          <w:lang w:val="en-US"/>
        </w:rPr>
        <w:t xml:space="preserve">Area-normalized </w:t>
      </w:r>
      <w:r w:rsidRPr="00E4462A">
        <w:rPr>
          <w:vertAlign w:val="superscript"/>
          <w:lang w:val="en-US"/>
        </w:rPr>
        <w:t>1</w:t>
      </w:r>
      <w:r w:rsidRPr="00E4462A">
        <w:rPr>
          <w:lang w:val="en-US"/>
        </w:rPr>
        <w:t xml:space="preserve">H NMR spectra of selected samples revealed clear distinctions of samples while a pronounced congruence within the three pairs of wetland DOM </w:t>
      </w:r>
      <w:r w:rsidRPr="00E4462A">
        <w:rPr>
          <w:lang w:val="en-GB"/>
        </w:rPr>
        <w:t>readily suggested the presence of an individual wetland-specific molecular signature</w:t>
      </w:r>
      <w:r w:rsidRPr="00E4462A">
        <w:rPr>
          <w:lang w:val="en-US"/>
        </w:rPr>
        <w:t xml:space="preserve">. Within sample pairs (long vs. short hydroperiod sites), internal differences mainly referred to intensity variations (denoting variable abundance) rather than to alterations of NMR resonances </w:t>
      </w:r>
      <w:r w:rsidRPr="00E4462A">
        <w:rPr>
          <w:lang w:val="en-US"/>
        </w:rPr>
        <w:lastRenderedPageBreak/>
        <w:t xml:space="preserve">positioning (denoting diversity of molecules). The relative disparity was largest between the Everglades long and short hydroperiod samples, whereas Pantanal and Okavango samples were more alike among themselves. Otherwise, molecular divergence was most obvious in the case of unsaturated protons </w:t>
      </w:r>
      <w:r w:rsidRPr="00E4462A">
        <w:rPr>
          <w:lang w:val="en-GB"/>
        </w:rPr>
        <w:t>(</w:t>
      </w:r>
      <w:r w:rsidRPr="00E4462A">
        <w:rPr>
          <w:rFonts w:ascii="Symbol" w:hAnsi="Symbol"/>
          <w:lang w:val="en-US"/>
        </w:rPr>
        <w:t></w:t>
      </w:r>
      <w:r w:rsidRPr="00E4462A">
        <w:rPr>
          <w:rFonts w:eastAsia="Arial Unicode MS"/>
          <w:vertAlign w:val="subscript"/>
          <w:lang w:val="en-US"/>
        </w:rPr>
        <w:t>H</w:t>
      </w:r>
      <w:r w:rsidRPr="00E4462A">
        <w:rPr>
          <w:lang w:val="en-GB"/>
        </w:rPr>
        <w:t xml:space="preserve"> &gt; 5 ppm)</w:t>
      </w:r>
      <w:r w:rsidRPr="00E4462A">
        <w:rPr>
          <w:lang w:val="en-US"/>
        </w:rPr>
        <w:t xml:space="preserve">. </w:t>
      </w:r>
      <w:r w:rsidRPr="00E4462A">
        <w:rPr>
          <w:lang w:val="en-GB"/>
        </w:rPr>
        <w:t>2D NMR spectroscopy for a particular sample revealed a large richness of aliphatic and unsaturated substructures, likely derived from microbial sources such as periphyton in the Everglades.</w:t>
      </w:r>
      <w:r w:rsidRPr="00E4462A">
        <w:rPr>
          <w:lang w:val="en-US"/>
        </w:rPr>
        <w:t xml:space="preserve"> </w:t>
      </w:r>
      <w:r w:rsidRPr="00E4462A">
        <w:rPr>
          <w:lang w:val="en-GB"/>
        </w:rPr>
        <w:t xml:space="preserve">In contrast, the chemical diversity of aromatic wetland DOM likely originates from a combination of higher plant sources, progressive microbial and photochemical oxidation, and contributions from combustion-derived products (e.g. black carbon). FT-ICRMS spectra of both Okavango and Pantanal showed near 57 ± 2% CHO, 8 ± 2% CHOS, 33 ± 2 CHNO, and &lt; 1% CHNOS molecules, whereas those of Everglades samples were markedly enriched in CHOS and CHNOS at the expense of CHO and CHNO compounds.  In particular, the Everglades short hydroperiod site showed a large set of aromatic and oxygen-deficient “black sulphur” compounds whereas the long hydroperiods site containted oxygenated sulfur attached to fused-ring polyphenols. The elevated abundance of CHOS compounds for the Everglades samples likely results from higher inputs of agriculture-derived and sea spray derived sulphate. Although wetland DOM samples were found to share many molecular features, each sample was unique in its composition, which reflected specific environmental drivers and/or specific biogeochemical processes. </w:t>
      </w:r>
    </w:p>
    <w:p w14:paraId="4BAC2A32" w14:textId="77777777" w:rsidR="004A3994" w:rsidRPr="00E4462A" w:rsidRDefault="006A6255" w:rsidP="008B22B1">
      <w:pPr>
        <w:spacing w:line="360" w:lineRule="auto"/>
        <w:jc w:val="both"/>
        <w:rPr>
          <w:lang w:val="en-GB"/>
        </w:rPr>
      </w:pPr>
      <w:r w:rsidRPr="00E4462A">
        <w:rPr>
          <w:lang w:val="en-GB"/>
        </w:rPr>
        <w:t xml:space="preserve">  </w:t>
      </w:r>
    </w:p>
    <w:p w14:paraId="26DB8C85" w14:textId="77777777" w:rsidR="00043193" w:rsidRPr="00E4462A" w:rsidRDefault="00043193" w:rsidP="00331408">
      <w:pPr>
        <w:pStyle w:val="ListParagraph"/>
        <w:numPr>
          <w:ilvl w:val="0"/>
          <w:numId w:val="15"/>
        </w:numPr>
        <w:spacing w:line="360" w:lineRule="auto"/>
        <w:jc w:val="both"/>
        <w:rPr>
          <w:lang w:val="en-GB"/>
        </w:rPr>
      </w:pPr>
      <w:r w:rsidRPr="00E4462A">
        <w:rPr>
          <w:b/>
          <w:lang w:val="en-GB"/>
        </w:rPr>
        <w:t>Introduction</w:t>
      </w:r>
      <w:r w:rsidRPr="00E4462A">
        <w:rPr>
          <w:lang w:val="en-GB"/>
        </w:rPr>
        <w:t>:</w:t>
      </w:r>
    </w:p>
    <w:p w14:paraId="4FAA8150" w14:textId="77777777" w:rsidR="00043193" w:rsidRPr="00E4462A" w:rsidRDefault="00043193" w:rsidP="008B22B1">
      <w:pPr>
        <w:spacing w:line="360" w:lineRule="auto"/>
        <w:jc w:val="both"/>
        <w:rPr>
          <w:lang w:val="en-GB"/>
        </w:rPr>
      </w:pPr>
    </w:p>
    <w:p w14:paraId="5B2FC057" w14:textId="61392F4D" w:rsidR="00043193" w:rsidRPr="00E4462A" w:rsidRDefault="00043193" w:rsidP="008B22B1">
      <w:pPr>
        <w:spacing w:line="360" w:lineRule="auto"/>
        <w:jc w:val="both"/>
        <w:rPr>
          <w:lang w:val="en-GB"/>
        </w:rPr>
      </w:pPr>
      <w:r w:rsidRPr="00E4462A">
        <w:rPr>
          <w:lang w:val="en-GB"/>
        </w:rPr>
        <w:t>Natural dissolved organic matter (DOM) is a critical component of the global carbon cycle (Battin et al., 2009) and serves as an energy resource fuelling the microbial loop (Amon and Benner, 1996a), acts as a carrier facilitating the mobilization of trace metals and combustion derived products (Yamashita and Jaffé, 2008; Jaffé et al., 2013), and functions as a sun screen for aquatic organisms by limiting light penetration (</w:t>
      </w:r>
      <w:r w:rsidR="00AA1906" w:rsidRPr="00E4462A">
        <w:rPr>
          <w:lang w:val="en-GB"/>
        </w:rPr>
        <w:t>Blough and Green, 1995</w:t>
      </w:r>
      <w:r w:rsidR="003526E2" w:rsidRPr="00E4462A">
        <w:rPr>
          <w:lang w:val="en-GB"/>
        </w:rPr>
        <w:t xml:space="preserve">; </w:t>
      </w:r>
      <w:r w:rsidR="00093C99" w:rsidRPr="00E4462A">
        <w:rPr>
          <w:lang w:val="en-GB"/>
        </w:rPr>
        <w:t>Foden et al., 2008</w:t>
      </w:r>
      <w:r w:rsidRPr="00E4462A">
        <w:rPr>
          <w:lang w:val="en-GB"/>
        </w:rPr>
        <w:t xml:space="preserve">) among other biogeochemical processes. In addition to </w:t>
      </w:r>
      <w:r w:rsidR="00EA4DA8" w:rsidRPr="00E4462A">
        <w:rPr>
          <w:lang w:val="en-GB"/>
        </w:rPr>
        <w:t xml:space="preserve">comprising </w:t>
      </w:r>
      <w:r w:rsidRPr="00E4462A">
        <w:rPr>
          <w:lang w:val="en-GB"/>
        </w:rPr>
        <w:t>one of the largest organic matter pools in aquatic environments</w:t>
      </w:r>
      <w:r w:rsidR="003A13B9" w:rsidRPr="00E4462A">
        <w:rPr>
          <w:lang w:val="en-GB"/>
        </w:rPr>
        <w:t>,</w:t>
      </w:r>
      <w:r w:rsidRPr="00E4462A">
        <w:rPr>
          <w:lang w:val="en-GB"/>
        </w:rPr>
        <w:t xml:space="preserve"> DOM is one of the most complex mixtures of OM in natural systems containing millions of organic compounds (Koch et al., 2005; Hertkorn et al., 200</w:t>
      </w:r>
      <w:r w:rsidR="007E3BED" w:rsidRPr="00E4462A">
        <w:rPr>
          <w:lang w:val="en-GB"/>
        </w:rPr>
        <w:t>8</w:t>
      </w:r>
      <w:r w:rsidRPr="00E4462A">
        <w:rPr>
          <w:lang w:val="en-GB"/>
        </w:rPr>
        <w:t xml:space="preserve">). While the molecular characterization of DOM (Hertkorn et al., </w:t>
      </w:r>
      <w:r w:rsidR="007E3BED" w:rsidRPr="00E4462A">
        <w:rPr>
          <w:lang w:val="en-GB"/>
        </w:rPr>
        <w:t xml:space="preserve">2006 and </w:t>
      </w:r>
      <w:r w:rsidRPr="00E4462A">
        <w:rPr>
          <w:lang w:val="en-GB"/>
        </w:rPr>
        <w:t xml:space="preserve">2013; </w:t>
      </w:r>
      <w:r w:rsidR="00283F44" w:rsidRPr="00E4462A">
        <w:rPr>
          <w:lang w:val="en-GB"/>
        </w:rPr>
        <w:t>Jaffé</w:t>
      </w:r>
      <w:r w:rsidRPr="00E4462A">
        <w:rPr>
          <w:lang w:val="en-GB"/>
        </w:rPr>
        <w:t xml:space="preserve"> et al., 2014; </w:t>
      </w:r>
      <w:r w:rsidR="00600BAC" w:rsidRPr="00E4462A">
        <w:rPr>
          <w:lang w:val="en-GB"/>
        </w:rPr>
        <w:t xml:space="preserve">Woods et al., 2011 and 2012; </w:t>
      </w:r>
      <w:r w:rsidRPr="00E4462A">
        <w:rPr>
          <w:lang w:val="en-GB"/>
        </w:rPr>
        <w:t xml:space="preserve">Panagiotopolous et al., 2007; </w:t>
      </w:r>
      <w:r w:rsidR="007E3BED" w:rsidRPr="00E4462A">
        <w:rPr>
          <w:lang w:val="en-GB"/>
        </w:rPr>
        <w:t xml:space="preserve">Lam et al., 2007; </w:t>
      </w:r>
      <w:r w:rsidRPr="00E4462A">
        <w:rPr>
          <w:lang w:val="en-GB"/>
        </w:rPr>
        <w:lastRenderedPageBreak/>
        <w:t>Aluwihare and Repeta, 1999) ha</w:t>
      </w:r>
      <w:r w:rsidR="00EA4DA8" w:rsidRPr="00E4462A">
        <w:rPr>
          <w:lang w:val="en-GB"/>
        </w:rPr>
        <w:t>s</w:t>
      </w:r>
      <w:r w:rsidRPr="00E4462A">
        <w:rPr>
          <w:lang w:val="en-GB"/>
        </w:rPr>
        <w:t xml:space="preserve"> significantly advanced our understanding of its composition and ecological functions, a significant portion of this material remains uncharacterized </w:t>
      </w:r>
      <w:r w:rsidR="00EA4DA8" w:rsidRPr="00E4462A">
        <w:rPr>
          <w:lang w:val="en-GB"/>
        </w:rPr>
        <w:t>at</w:t>
      </w:r>
      <w:r w:rsidRPr="00E4462A">
        <w:rPr>
          <w:lang w:val="en-GB"/>
        </w:rPr>
        <w:t xml:space="preserve"> the molecular level. Although molecular similarities between bulk DOM from vastly different environments have been reported (Repeta et al., 2002; </w:t>
      </w:r>
      <w:r w:rsidR="007E3BED" w:rsidRPr="00E4462A">
        <w:rPr>
          <w:lang w:val="en-GB"/>
        </w:rPr>
        <w:t xml:space="preserve">Perdue and Ritchie, 2003; </w:t>
      </w:r>
      <w:r w:rsidRPr="00E4462A">
        <w:rPr>
          <w:lang w:val="en-GB"/>
        </w:rPr>
        <w:t>Jaffé et al., 2012; Hertkorn et al., 2013)</w:t>
      </w:r>
      <w:r w:rsidR="007E3BED" w:rsidRPr="00E4462A">
        <w:rPr>
          <w:lang w:val="en-GB"/>
        </w:rPr>
        <w:t>,</w:t>
      </w:r>
      <w:r w:rsidRPr="00E4462A">
        <w:rPr>
          <w:lang w:val="en-GB"/>
        </w:rPr>
        <w:t xml:space="preserve"> the variability in composition (quality) among samples can also be quite significant (Jaffé et al., 2008</w:t>
      </w:r>
      <w:r w:rsidR="007E3BED" w:rsidRPr="00E4462A">
        <w:rPr>
          <w:lang w:val="en-GB"/>
        </w:rPr>
        <w:t>; Zhang et al., 201</w:t>
      </w:r>
      <w:r w:rsidR="00513DC4" w:rsidRPr="00E4462A">
        <w:rPr>
          <w:lang w:val="en-GB"/>
        </w:rPr>
        <w:t>4</w:t>
      </w:r>
      <w:r w:rsidRPr="00E4462A">
        <w:rPr>
          <w:lang w:val="en-GB"/>
        </w:rPr>
        <w:t>) implying differences in the photo- and bio-reactivity of these materials (Amon and Benner, 1996b). Such compositional differences (or similarities) may have important implications with regards to carbon cycling and ecological function</w:t>
      </w:r>
      <w:r w:rsidR="00EA4DA8" w:rsidRPr="00E4462A">
        <w:rPr>
          <w:lang w:val="en-GB"/>
        </w:rPr>
        <w:t>ing</w:t>
      </w:r>
      <w:r w:rsidRPr="00E4462A">
        <w:rPr>
          <w:lang w:val="en-GB"/>
        </w:rPr>
        <w:t xml:space="preserve"> of DOM. While the characterization of DOM using targeted substrates such as amino acids (Yamashita and Tanoue, </w:t>
      </w:r>
      <w:r w:rsidR="007F3FB0" w:rsidRPr="00E4462A">
        <w:rPr>
          <w:lang w:val="en-GB"/>
        </w:rPr>
        <w:t>2003</w:t>
      </w:r>
      <w:r w:rsidRPr="00E4462A">
        <w:rPr>
          <w:lang w:val="en-GB"/>
        </w:rPr>
        <w:t xml:space="preserve">), neutral sugars (Panagiotopolous et al., 2007), lignin phenols (Spencer et al., 2012) and others have actively been pursued, much of the bulk DOM remains uncharacterized (Hedges et al., </w:t>
      </w:r>
      <w:r w:rsidR="007F3FB0" w:rsidRPr="00E4462A">
        <w:rPr>
          <w:lang w:val="en-GB"/>
        </w:rPr>
        <w:t>2000</w:t>
      </w:r>
      <w:r w:rsidRPr="00E4462A">
        <w:rPr>
          <w:lang w:val="en-GB"/>
        </w:rPr>
        <w:t xml:space="preserve">) and broader spectrum analyses are required. As such, multi-analytical approaches for the advanced molecular characterization of DOM are needed to advance this field (Hertkorn et al., 2013; </w:t>
      </w:r>
      <w:r w:rsidR="00283F44" w:rsidRPr="00E4462A">
        <w:rPr>
          <w:lang w:val="en-GB"/>
        </w:rPr>
        <w:t>Jaffé</w:t>
      </w:r>
      <w:r w:rsidRPr="00E4462A">
        <w:rPr>
          <w:lang w:val="en-GB"/>
        </w:rPr>
        <w:t xml:space="preserve"> et al., 2012; </w:t>
      </w:r>
      <w:r w:rsidR="007F3FB0" w:rsidRPr="00E4462A">
        <w:rPr>
          <w:lang w:val="en-GB"/>
        </w:rPr>
        <w:t>Minor et al., 2014</w:t>
      </w:r>
      <w:r w:rsidR="00986B47" w:rsidRPr="00E4462A">
        <w:rPr>
          <w:lang w:val="en-GB"/>
        </w:rPr>
        <w:t>).</w:t>
      </w:r>
    </w:p>
    <w:p w14:paraId="51F2A11F" w14:textId="492F17E1" w:rsidR="00043193" w:rsidRPr="00E4462A" w:rsidRDefault="00043193" w:rsidP="008B22B1">
      <w:pPr>
        <w:spacing w:line="360" w:lineRule="auto"/>
        <w:ind w:firstLine="720"/>
        <w:jc w:val="both"/>
        <w:rPr>
          <w:lang w:val="en-GB"/>
        </w:rPr>
      </w:pPr>
      <w:r w:rsidRPr="00E4462A">
        <w:rPr>
          <w:lang w:val="en-GB"/>
        </w:rPr>
        <w:t xml:space="preserve">During synthesis of natural </w:t>
      </w:r>
      <w:r w:rsidR="00473439" w:rsidRPr="00E4462A">
        <w:rPr>
          <w:lang w:val="en-GB"/>
        </w:rPr>
        <w:t xml:space="preserve">dissolved </w:t>
      </w:r>
      <w:r w:rsidRPr="00E4462A">
        <w:rPr>
          <w:lang w:val="en-GB"/>
        </w:rPr>
        <w:t>organic matter (</w:t>
      </w:r>
      <w:r w:rsidR="00473439" w:rsidRPr="00E4462A">
        <w:rPr>
          <w:lang w:val="en-GB"/>
        </w:rPr>
        <w:t>DOM</w:t>
      </w:r>
      <w:r w:rsidRPr="00E4462A">
        <w:rPr>
          <w:lang w:val="en-GB"/>
        </w:rPr>
        <w:t>), common biosignatures characteristic of</w:t>
      </w:r>
      <w:r w:rsidR="00376C7A" w:rsidRPr="00E4462A">
        <w:rPr>
          <w:lang w:val="en-GB"/>
        </w:rPr>
        <w:t xml:space="preserve"> the respective source</w:t>
      </w:r>
      <w:r w:rsidR="009602F6" w:rsidRPr="00E4462A">
        <w:rPr>
          <w:lang w:val="en-GB"/>
        </w:rPr>
        <w:t>s</w:t>
      </w:r>
      <w:r w:rsidRPr="00E4462A">
        <w:rPr>
          <w:lang w:val="en-GB"/>
        </w:rPr>
        <w:t xml:space="preserve"> are progressively attenuated by the combined action of biotic and abiotic reactions. While degradative analysis of </w:t>
      </w:r>
      <w:r w:rsidR="00473439" w:rsidRPr="00E4462A">
        <w:rPr>
          <w:lang w:val="en-GB"/>
        </w:rPr>
        <w:t xml:space="preserve">DOM </w:t>
      </w:r>
      <w:r w:rsidRPr="00E4462A">
        <w:rPr>
          <w:lang w:val="en-GB"/>
        </w:rPr>
        <w:t xml:space="preserve">intentionally destroys the sample in the beginning to recover a suite of known decomposition products, </w:t>
      </w:r>
      <w:r w:rsidR="009602F6" w:rsidRPr="00E4462A">
        <w:rPr>
          <w:lang w:val="en-GB"/>
        </w:rPr>
        <w:t>such as</w:t>
      </w:r>
      <w:r w:rsidRPr="00E4462A">
        <w:rPr>
          <w:lang w:val="en-GB"/>
        </w:rPr>
        <w:t xml:space="preserve"> amino acids, carbohydrates, lignin phenols and lipids (which typically account for about 5-30% of the organic carbon, depending on age, environment and diagenesis), non-target molecular-level analyses of </w:t>
      </w:r>
      <w:r w:rsidR="00473439" w:rsidRPr="00E4462A">
        <w:rPr>
          <w:lang w:val="en-GB"/>
        </w:rPr>
        <w:t xml:space="preserve">DOM </w:t>
      </w:r>
      <w:r w:rsidRPr="00E4462A">
        <w:rPr>
          <w:lang w:val="en-GB"/>
        </w:rPr>
        <w:t xml:space="preserve">attempt to characterize the entire carbon present in </w:t>
      </w:r>
      <w:r w:rsidR="00473439" w:rsidRPr="00E4462A">
        <w:rPr>
          <w:lang w:val="en-GB"/>
        </w:rPr>
        <w:t xml:space="preserve">DOM </w:t>
      </w:r>
      <w:r w:rsidRPr="00E4462A">
        <w:rPr>
          <w:lang w:val="en-GB"/>
        </w:rPr>
        <w:t xml:space="preserve">by means of information-rich detection methods, </w:t>
      </w:r>
      <w:r w:rsidR="009602F6" w:rsidRPr="00E4462A">
        <w:rPr>
          <w:lang w:val="en-GB"/>
        </w:rPr>
        <w:t>such as</w:t>
      </w:r>
      <w:r w:rsidRPr="00E4462A">
        <w:rPr>
          <w:lang w:val="en-GB"/>
        </w:rPr>
        <w:t xml:space="preserve"> UV-Vis, fluorescence, NMR spectroscopy and FT</w:t>
      </w:r>
      <w:r w:rsidR="00376C7A" w:rsidRPr="00E4462A">
        <w:rPr>
          <w:lang w:val="en-GB"/>
        </w:rPr>
        <w:t>-</w:t>
      </w:r>
      <w:r w:rsidRPr="00E4462A">
        <w:rPr>
          <w:lang w:val="en-GB"/>
        </w:rPr>
        <w:t>ICR</w:t>
      </w:r>
      <w:r w:rsidR="00376C7A" w:rsidRPr="00E4462A">
        <w:rPr>
          <w:lang w:val="en-GB"/>
        </w:rPr>
        <w:t>MS</w:t>
      </w:r>
      <w:r w:rsidRPr="00E4462A">
        <w:rPr>
          <w:lang w:val="en-GB"/>
        </w:rPr>
        <w:t>. While optical properties have been widely applied for DOM bulk characterizations (Jaffé et al., 2014; Fellman et al., 2010) and a</w:t>
      </w:r>
      <w:r w:rsidR="00376C7A" w:rsidRPr="00E4462A">
        <w:rPr>
          <w:lang w:val="en-GB"/>
        </w:rPr>
        <w:t>llow large sample throughput at</w:t>
      </w:r>
      <w:r w:rsidRPr="00E4462A">
        <w:rPr>
          <w:lang w:val="en-GB"/>
        </w:rPr>
        <w:t xml:space="preserve"> low cost, more advanced molecular level characterization techniques such as NMR provide unsurpassed insight into close-range molecular order (Hertkorn et al., </w:t>
      </w:r>
      <w:r w:rsidR="0002238E" w:rsidRPr="00E4462A">
        <w:rPr>
          <w:lang w:val="en-GB"/>
        </w:rPr>
        <w:t xml:space="preserve">2006 and </w:t>
      </w:r>
      <w:r w:rsidRPr="00E4462A">
        <w:rPr>
          <w:lang w:val="en-GB"/>
        </w:rPr>
        <w:t xml:space="preserve">2013; </w:t>
      </w:r>
      <w:r w:rsidR="007E3BED" w:rsidRPr="00E4462A">
        <w:rPr>
          <w:lang w:val="en-GB"/>
        </w:rPr>
        <w:t>Lam et al., 2007</w:t>
      </w:r>
      <w:r w:rsidR="00600BAC" w:rsidRPr="00E4462A">
        <w:rPr>
          <w:lang w:val="en-GB"/>
        </w:rPr>
        <w:t xml:space="preserve">; </w:t>
      </w:r>
      <w:r w:rsidR="00745F66" w:rsidRPr="00E4462A">
        <w:rPr>
          <w:lang w:val="en-GB"/>
        </w:rPr>
        <w:t xml:space="preserve">McCaul et al., 2011; </w:t>
      </w:r>
      <w:r w:rsidR="00600BAC" w:rsidRPr="00E4462A">
        <w:rPr>
          <w:lang w:val="en-GB"/>
        </w:rPr>
        <w:t xml:space="preserve">Woods et al., </w:t>
      </w:r>
      <w:r w:rsidR="0002238E" w:rsidRPr="00E4462A">
        <w:rPr>
          <w:lang w:val="en-GB"/>
        </w:rPr>
        <w:t xml:space="preserve">2011 and </w:t>
      </w:r>
      <w:r w:rsidR="00600BAC" w:rsidRPr="00E4462A">
        <w:rPr>
          <w:lang w:val="en-GB"/>
        </w:rPr>
        <w:t>2012; Zhang et al., 201</w:t>
      </w:r>
      <w:r w:rsidR="00513DC4" w:rsidRPr="00E4462A">
        <w:rPr>
          <w:lang w:val="en-GB"/>
        </w:rPr>
        <w:t>4</w:t>
      </w:r>
      <w:r w:rsidR="00646699" w:rsidRPr="00E4462A">
        <w:rPr>
          <w:lang w:val="en-GB"/>
        </w:rPr>
        <w:t>; Bell et al., 2015</w:t>
      </w:r>
      <w:r w:rsidRPr="00E4462A">
        <w:rPr>
          <w:lang w:val="en-GB"/>
        </w:rPr>
        <w:t>), while FT</w:t>
      </w:r>
      <w:r w:rsidR="00376C7A" w:rsidRPr="00E4462A">
        <w:rPr>
          <w:lang w:val="en-GB"/>
        </w:rPr>
        <w:t>-ICR</w:t>
      </w:r>
      <w:r w:rsidRPr="00E4462A">
        <w:rPr>
          <w:lang w:val="en-GB"/>
        </w:rPr>
        <w:t>MS provides depiction of the compositional space with exceptional resolution (</w:t>
      </w:r>
      <w:r w:rsidR="0018785D" w:rsidRPr="00E4462A">
        <w:rPr>
          <w:lang w:val="en-GB"/>
        </w:rPr>
        <w:t xml:space="preserve">Kujawinski, 2002; Sleighter and Hatcher, 2007; </w:t>
      </w:r>
      <w:r w:rsidR="00CC2687" w:rsidRPr="00E4462A">
        <w:rPr>
          <w:lang w:val="en-GB"/>
        </w:rPr>
        <w:t xml:space="preserve">D’Andrilli et al., 2010; </w:t>
      </w:r>
      <w:r w:rsidRPr="00E4462A">
        <w:rPr>
          <w:lang w:val="en-GB"/>
        </w:rPr>
        <w:t xml:space="preserve">Hertkorn et al., 2008; Hertkorn et al., 2013; Kaiser et al., 2003; </w:t>
      </w:r>
      <w:r w:rsidR="007F3FB0" w:rsidRPr="00E4462A">
        <w:rPr>
          <w:lang w:val="en-GB"/>
        </w:rPr>
        <w:t>Minor et al., 2014</w:t>
      </w:r>
      <w:r w:rsidR="008130CA" w:rsidRPr="00E4462A">
        <w:rPr>
          <w:lang w:val="en-GB"/>
        </w:rPr>
        <w:t>; Koch</w:t>
      </w:r>
      <w:r w:rsidR="00600BAC" w:rsidRPr="00E4462A">
        <w:rPr>
          <w:lang w:val="en-GB"/>
        </w:rPr>
        <w:t xml:space="preserve"> et al., 2005 and 2007</w:t>
      </w:r>
      <w:r w:rsidR="00986B47" w:rsidRPr="00E4462A">
        <w:rPr>
          <w:lang w:val="en-GB"/>
        </w:rPr>
        <w:t>).</w:t>
      </w:r>
      <w:r w:rsidR="00CC2687" w:rsidRPr="00E4462A">
        <w:rPr>
          <w:lang w:val="en-GB"/>
        </w:rPr>
        <w:t xml:space="preserve"> The combination of such techniques in the assessment of DOM dynamics has become more frequent (e.g. Tfaily et al., </w:t>
      </w:r>
      <w:r w:rsidR="00CC2687" w:rsidRPr="00E4462A">
        <w:rPr>
          <w:lang w:val="en-GB"/>
        </w:rPr>
        <w:lastRenderedPageBreak/>
        <w:t>2015; Jaffé et al., 2012), and furthermore, the association between optical properties and the molecular characteristics of DOM have recently become an active research endeavour in an attempt to better link these parameters (Stubbins et al., 2014; Kellerman et al., 2015; Wagner et al., 2015</w:t>
      </w:r>
      <w:r w:rsidR="00FC5AF8" w:rsidRPr="00E4462A">
        <w:rPr>
          <w:lang w:val="en-GB"/>
        </w:rPr>
        <w:t>a</w:t>
      </w:r>
      <w:r w:rsidR="00CC2687" w:rsidRPr="00E4462A">
        <w:rPr>
          <w:lang w:val="en-GB"/>
        </w:rPr>
        <w:t xml:space="preserve">). As such, this work should provide further advances in this field.   </w:t>
      </w:r>
    </w:p>
    <w:p w14:paraId="641C0218" w14:textId="26B7202A" w:rsidR="00043193" w:rsidRPr="00E4462A" w:rsidRDefault="00043193" w:rsidP="00376C7A">
      <w:pPr>
        <w:spacing w:line="360" w:lineRule="auto"/>
        <w:ind w:firstLine="720"/>
        <w:jc w:val="both"/>
        <w:rPr>
          <w:rFonts w:cs="Arial"/>
          <w:lang w:val="en-GB"/>
        </w:rPr>
      </w:pPr>
      <w:r w:rsidRPr="00E4462A">
        <w:rPr>
          <w:lang w:val="en-GB"/>
        </w:rPr>
        <w:t xml:space="preserve">While significant efforts have been devoted to the detailed characterization of DOM in oceanic, lacustrine and riverine environments (Hertkorn et al., 2013; Kujawinski et al., 2009; </w:t>
      </w:r>
      <w:r w:rsidR="00BA0C5F" w:rsidRPr="00E4462A">
        <w:rPr>
          <w:lang w:val="en-GB"/>
        </w:rPr>
        <w:t xml:space="preserve">Einsiedl et al., 2007; </w:t>
      </w:r>
      <w:r w:rsidR="007F3FB0" w:rsidRPr="00E4462A">
        <w:rPr>
          <w:lang w:val="en-GB"/>
        </w:rPr>
        <w:t>Minor et al., 2012</w:t>
      </w:r>
      <w:r w:rsidRPr="00E4462A">
        <w:rPr>
          <w:lang w:val="en-GB"/>
        </w:rPr>
        <w:t xml:space="preserve">; </w:t>
      </w:r>
      <w:r w:rsidR="00283F44" w:rsidRPr="00E4462A">
        <w:rPr>
          <w:lang w:val="en-GB"/>
        </w:rPr>
        <w:t>Jaffé</w:t>
      </w:r>
      <w:r w:rsidRPr="00E4462A">
        <w:rPr>
          <w:lang w:val="en-GB"/>
        </w:rPr>
        <w:t xml:space="preserve"> et al., 2012), still little is known about its molecular features in large freshwater wetlands, environments that are critically threatened by anthropogenic influences such as </w:t>
      </w:r>
      <w:r w:rsidR="00E13A44" w:rsidRPr="00E4462A">
        <w:rPr>
          <w:lang w:val="en-GB"/>
        </w:rPr>
        <w:t xml:space="preserve">pollution and </w:t>
      </w:r>
      <w:r w:rsidRPr="00E4462A">
        <w:rPr>
          <w:lang w:val="en-GB"/>
        </w:rPr>
        <w:t>drainage for flood control</w:t>
      </w:r>
      <w:r w:rsidR="00E13A44" w:rsidRPr="00E4462A">
        <w:rPr>
          <w:lang w:val="en-GB"/>
        </w:rPr>
        <w:t xml:space="preserve">, </w:t>
      </w:r>
      <w:r w:rsidRPr="00E4462A">
        <w:rPr>
          <w:lang w:val="en-GB"/>
        </w:rPr>
        <w:t>agricultural and urban development. Organic matter dynamics in large wetlands are particular</w:t>
      </w:r>
      <w:r w:rsidR="00376C7A" w:rsidRPr="00E4462A">
        <w:rPr>
          <w:lang w:val="en-GB"/>
        </w:rPr>
        <w:t>ly complex</w:t>
      </w:r>
      <w:r w:rsidRPr="00E4462A">
        <w:rPr>
          <w:lang w:val="en-GB"/>
        </w:rPr>
        <w:t xml:space="preserve"> (e.g. Chen et al., 2013; Yamashita et </w:t>
      </w:r>
      <w:r w:rsidR="008130CA" w:rsidRPr="00E4462A">
        <w:rPr>
          <w:lang w:val="en-GB"/>
        </w:rPr>
        <w:t>al., 2010; Cawley et al., 2012</w:t>
      </w:r>
      <w:r w:rsidRPr="00E4462A">
        <w:rPr>
          <w:lang w:val="en-GB"/>
        </w:rPr>
        <w:t>) due to a high variability in</w:t>
      </w:r>
      <w:r w:rsidR="00E13A44" w:rsidRPr="00E4462A">
        <w:rPr>
          <w:lang w:val="en-GB"/>
        </w:rPr>
        <w:t xml:space="preserve"> spatial and temporal</w:t>
      </w:r>
      <w:r w:rsidRPr="00E4462A">
        <w:rPr>
          <w:lang w:val="en-GB"/>
        </w:rPr>
        <w:t xml:space="preserve"> organic matter source</w:t>
      </w:r>
      <w:r w:rsidR="00E13A44" w:rsidRPr="00E4462A">
        <w:rPr>
          <w:lang w:val="en-GB"/>
        </w:rPr>
        <w:t>s,</w:t>
      </w:r>
      <w:r w:rsidRPr="00E4462A">
        <w:rPr>
          <w:lang w:val="en-GB"/>
        </w:rPr>
        <w:t xml:space="preserve"> </w:t>
      </w:r>
      <w:r w:rsidR="00E13A44" w:rsidRPr="00E4462A">
        <w:rPr>
          <w:lang w:val="en-GB"/>
        </w:rPr>
        <w:t xml:space="preserve">concentrations, </w:t>
      </w:r>
      <w:r w:rsidRPr="00E4462A">
        <w:rPr>
          <w:lang w:val="en-GB"/>
        </w:rPr>
        <w:t>and diagenetic transformations. These variations are to a large extent driven by interplay between complex hydrological and primary productivity patterns. In this study, DOM samples from three of the largest and most important sub-tropical, pulsed wetlands, the Everglades (USA), the Pantanal (Brazil) and the O</w:t>
      </w:r>
      <w:r w:rsidR="007F3FB0" w:rsidRPr="00E4462A">
        <w:rPr>
          <w:lang w:val="en-GB"/>
        </w:rPr>
        <w:t>kav</w:t>
      </w:r>
      <w:r w:rsidRPr="00E4462A">
        <w:rPr>
          <w:lang w:val="en-GB"/>
        </w:rPr>
        <w:t xml:space="preserve">ango Delta (Botswana), were collected and analysed on a comparative basis using optical properties, including </w:t>
      </w:r>
      <w:r w:rsidR="00E13A44" w:rsidRPr="00E4462A">
        <w:rPr>
          <w:lang w:val="en-GB"/>
        </w:rPr>
        <w:t>EEM-</w:t>
      </w:r>
      <w:r w:rsidRPr="00E4462A">
        <w:rPr>
          <w:lang w:val="en-GB"/>
        </w:rPr>
        <w:t xml:space="preserve">PARAFAC, high field </w:t>
      </w:r>
      <w:r w:rsidRPr="00E4462A">
        <w:rPr>
          <w:rFonts w:cs="Arial"/>
          <w:vertAlign w:val="superscript"/>
          <w:lang w:val="en-GB"/>
        </w:rPr>
        <w:t>1</w:t>
      </w:r>
      <w:r w:rsidRPr="00E4462A">
        <w:rPr>
          <w:rFonts w:cs="Arial"/>
          <w:lang w:val="en-GB"/>
        </w:rPr>
        <w:t>H NMR, and FT</w:t>
      </w:r>
      <w:r w:rsidR="00376C7A" w:rsidRPr="00E4462A">
        <w:rPr>
          <w:rFonts w:cs="Arial"/>
          <w:lang w:val="en-GB"/>
        </w:rPr>
        <w:t>-ICR</w:t>
      </w:r>
      <w:r w:rsidRPr="00E4462A">
        <w:rPr>
          <w:rFonts w:cs="Arial"/>
          <w:lang w:val="en-GB"/>
        </w:rPr>
        <w:t xml:space="preserve">MS in order to assess similarities and differences in DOM composition and molecular structure in such vital ecosystems. </w:t>
      </w:r>
    </w:p>
    <w:p w14:paraId="218938C6" w14:textId="77777777" w:rsidR="00043193" w:rsidRPr="00E4462A" w:rsidRDefault="00043193" w:rsidP="008B22B1">
      <w:pPr>
        <w:spacing w:line="360" w:lineRule="auto"/>
        <w:jc w:val="both"/>
        <w:rPr>
          <w:lang w:val="en-GB"/>
        </w:rPr>
      </w:pPr>
    </w:p>
    <w:p w14:paraId="2853C68B" w14:textId="77777777" w:rsidR="00043193" w:rsidRPr="00E4462A" w:rsidRDefault="00043193" w:rsidP="00331408">
      <w:pPr>
        <w:pStyle w:val="ListParagraph"/>
        <w:numPr>
          <w:ilvl w:val="0"/>
          <w:numId w:val="15"/>
        </w:numPr>
        <w:spacing w:line="360" w:lineRule="auto"/>
        <w:jc w:val="both"/>
        <w:rPr>
          <w:rFonts w:cs="Arial"/>
          <w:b/>
          <w:lang w:val="en-GB"/>
        </w:rPr>
      </w:pPr>
      <w:r w:rsidRPr="00E4462A">
        <w:rPr>
          <w:rFonts w:cs="Arial"/>
          <w:b/>
          <w:lang w:val="en-GB"/>
        </w:rPr>
        <w:t>Experimental:</w:t>
      </w:r>
    </w:p>
    <w:p w14:paraId="30F48855" w14:textId="6B633D50" w:rsidR="00043193" w:rsidRPr="00E4462A" w:rsidRDefault="00331408" w:rsidP="008B22B1">
      <w:pPr>
        <w:spacing w:line="360" w:lineRule="auto"/>
        <w:jc w:val="both"/>
        <w:rPr>
          <w:lang w:val="en-US"/>
        </w:rPr>
      </w:pPr>
      <w:r w:rsidRPr="00E4462A">
        <w:rPr>
          <w:i/>
          <w:iCs/>
          <w:lang w:val="en-US"/>
        </w:rPr>
        <w:t xml:space="preserve">2a) </w:t>
      </w:r>
      <w:r w:rsidR="00043193" w:rsidRPr="00E4462A">
        <w:rPr>
          <w:i/>
          <w:iCs/>
          <w:lang w:val="en-US"/>
        </w:rPr>
        <w:t>Site descriptions, sample collection and analysis:</w:t>
      </w:r>
      <w:r w:rsidR="00043193" w:rsidRPr="00E4462A">
        <w:rPr>
          <w:b/>
          <w:iCs/>
          <w:lang w:val="en-US"/>
        </w:rPr>
        <w:t xml:space="preserve"> </w:t>
      </w:r>
      <w:r w:rsidR="00376C7A" w:rsidRPr="00E4462A">
        <w:rPr>
          <w:lang w:val="en-US"/>
        </w:rPr>
        <w:t>The Everglades</w:t>
      </w:r>
      <w:r w:rsidR="007F3FB0" w:rsidRPr="00E4462A">
        <w:rPr>
          <w:lang w:val="en-US"/>
        </w:rPr>
        <w:t>, Ok</w:t>
      </w:r>
      <w:r w:rsidR="00043193" w:rsidRPr="00E4462A">
        <w:rPr>
          <w:lang w:val="en-US"/>
        </w:rPr>
        <w:t>a</w:t>
      </w:r>
      <w:r w:rsidR="007F3FB0" w:rsidRPr="00E4462A">
        <w:rPr>
          <w:lang w:val="en-US"/>
        </w:rPr>
        <w:t>va</w:t>
      </w:r>
      <w:r w:rsidR="00376C7A" w:rsidRPr="00E4462A">
        <w:rPr>
          <w:lang w:val="en-US"/>
        </w:rPr>
        <w:t>ngo Delta and Pantanal</w:t>
      </w:r>
      <w:r w:rsidR="00043193" w:rsidRPr="00E4462A">
        <w:rPr>
          <w:lang w:val="en-US"/>
        </w:rPr>
        <w:t xml:space="preserve"> are three of the la</w:t>
      </w:r>
      <w:r w:rsidR="007F3FB0" w:rsidRPr="00E4462A">
        <w:rPr>
          <w:lang w:val="en-US"/>
        </w:rPr>
        <w:t>rgest sub-tropical, pulsed, fre</w:t>
      </w:r>
      <w:r w:rsidR="00043193" w:rsidRPr="00E4462A">
        <w:rPr>
          <w:lang w:val="en-US"/>
        </w:rPr>
        <w:t xml:space="preserve">shwater wetlands in the world and represent a wealth of biodiversity (Junk et al., </w:t>
      </w:r>
      <w:r w:rsidR="007F3FB0" w:rsidRPr="00E4462A">
        <w:rPr>
          <w:lang w:val="en-US"/>
        </w:rPr>
        <w:t>2006a</w:t>
      </w:r>
      <w:r w:rsidR="00043193" w:rsidRPr="00E4462A">
        <w:rPr>
          <w:lang w:val="en-US"/>
        </w:rPr>
        <w:t>). The Everglades ecosystem is a large (610,483 ha) subtropical wetland located in southern Florida</w:t>
      </w:r>
      <w:r w:rsidR="008B6D45" w:rsidRPr="00E4462A">
        <w:rPr>
          <w:lang w:val="en-US"/>
        </w:rPr>
        <w:t>, USA</w:t>
      </w:r>
      <w:r w:rsidR="00043193" w:rsidRPr="00E4462A">
        <w:rPr>
          <w:lang w:val="en-US"/>
        </w:rPr>
        <w:t xml:space="preserve">. Annually, the southern section of the system, namely Everglades National Park receives </w:t>
      </w:r>
      <w:r w:rsidR="00043193" w:rsidRPr="00E4462A">
        <w:rPr>
          <w:i/>
          <w:lang w:val="en-US"/>
        </w:rPr>
        <w:t xml:space="preserve">ca. </w:t>
      </w:r>
      <w:r w:rsidR="00043193" w:rsidRPr="00E4462A">
        <w:rPr>
          <w:lang w:val="en-US"/>
        </w:rPr>
        <w:t xml:space="preserve">120 cm of precipitation (50-year averages from 1962-2012) with 21 cm falling during the dry season (December to April) and 99 cm falling during the wet season (May to November) (Southeast Regional Climate Center, </w:t>
      </w:r>
      <w:hyperlink r:id="rId9" w:history="1">
        <w:r w:rsidR="00043193" w:rsidRPr="00E4462A">
          <w:rPr>
            <w:rStyle w:val="Hyperlink"/>
            <w:i/>
            <w:color w:val="auto"/>
            <w:lang w:val="en-US"/>
          </w:rPr>
          <w:t>http://www.sercc.com</w:t>
        </w:r>
      </w:hyperlink>
      <w:r w:rsidR="00043193" w:rsidRPr="00E4462A">
        <w:rPr>
          <w:lang w:val="en-US"/>
        </w:rPr>
        <w:t>). The freshwater area of the Everglades consists primarily of</w:t>
      </w:r>
      <w:r w:rsidR="0097094F" w:rsidRPr="00E4462A">
        <w:rPr>
          <w:lang w:val="en-US"/>
        </w:rPr>
        <w:t xml:space="preserve"> </w:t>
      </w:r>
      <w:r w:rsidR="00043193" w:rsidRPr="00E4462A">
        <w:rPr>
          <w:lang w:val="en-US"/>
        </w:rPr>
        <w:t>grassy marshes dominated by sawgrass (</w:t>
      </w:r>
      <w:r w:rsidR="00043193" w:rsidRPr="00E4462A">
        <w:rPr>
          <w:i/>
          <w:iCs/>
          <w:lang w:val="en-US"/>
        </w:rPr>
        <w:t>Cladium jamaciensis</w:t>
      </w:r>
      <w:r w:rsidR="00043193" w:rsidRPr="00E4462A">
        <w:rPr>
          <w:lang w:val="en-US"/>
        </w:rPr>
        <w:t>) with some small stands of trees on higher ground. The freshwater marshes drain through two main slough areas, namely the peat soil dominated Shark River Slough and the less extensive, marl-soil based Taylor Slough</w:t>
      </w:r>
      <w:r w:rsidR="0097094F" w:rsidRPr="00E4462A">
        <w:rPr>
          <w:lang w:val="en-US"/>
        </w:rPr>
        <w:t>,</w:t>
      </w:r>
      <w:r w:rsidR="00043193" w:rsidRPr="00E4462A">
        <w:rPr>
          <w:lang w:val="en-US"/>
        </w:rPr>
        <w:t xml:space="preserve"> which </w:t>
      </w:r>
      <w:r w:rsidR="00043193" w:rsidRPr="00E4462A">
        <w:rPr>
          <w:lang w:val="en-US"/>
        </w:rPr>
        <w:lastRenderedPageBreak/>
        <w:t>are characterized by longer and shorted hydroperiods (time and depth of inundation)</w:t>
      </w:r>
      <w:r w:rsidR="0097094F" w:rsidRPr="00E4462A">
        <w:rPr>
          <w:lang w:val="en-US"/>
        </w:rPr>
        <w:t>,</w:t>
      </w:r>
      <w:r w:rsidR="00043193" w:rsidRPr="00E4462A">
        <w:rPr>
          <w:lang w:val="en-US"/>
        </w:rPr>
        <w:t xml:space="preserve"> respectively. </w:t>
      </w:r>
    </w:p>
    <w:p w14:paraId="301EE372" w14:textId="5C6DD7D7" w:rsidR="00043193" w:rsidRPr="00E4462A" w:rsidRDefault="00043193" w:rsidP="008B22B1">
      <w:pPr>
        <w:spacing w:line="360" w:lineRule="auto"/>
        <w:ind w:firstLine="720"/>
        <w:jc w:val="both"/>
        <w:rPr>
          <w:lang w:val="en-US"/>
        </w:rPr>
      </w:pPr>
      <w:r w:rsidRPr="00E4462A">
        <w:rPr>
          <w:lang w:val="en-US"/>
        </w:rPr>
        <w:t xml:space="preserve">The </w:t>
      </w:r>
      <w:r w:rsidR="001D597E" w:rsidRPr="00E4462A">
        <w:rPr>
          <w:lang w:val="en-US"/>
        </w:rPr>
        <w:t xml:space="preserve">Okavango </w:t>
      </w:r>
      <w:r w:rsidRPr="00E4462A">
        <w:rPr>
          <w:lang w:val="en-US"/>
        </w:rPr>
        <w:t xml:space="preserve">Delta is a large wetland located in semi-arid NW Botswana and is subject to an annual flood event generated by water of the </w:t>
      </w:r>
      <w:r w:rsidR="001D597E" w:rsidRPr="00E4462A">
        <w:rPr>
          <w:lang w:val="en-US"/>
        </w:rPr>
        <w:t xml:space="preserve">Okavango </w:t>
      </w:r>
      <w:r w:rsidRPr="00E4462A">
        <w:rPr>
          <w:lang w:val="en-US"/>
        </w:rPr>
        <w:t>River flowing south from the highlands of Angola. During the flood event, the inundated area in the Delta expands in size from the annual minimum of 3,500-6,000 km</w:t>
      </w:r>
      <w:r w:rsidRPr="00E4462A">
        <w:rPr>
          <w:vertAlign w:val="superscript"/>
          <w:lang w:val="en-US"/>
        </w:rPr>
        <w:t>2</w:t>
      </w:r>
      <w:r w:rsidRPr="00E4462A">
        <w:rPr>
          <w:lang w:val="en-US"/>
        </w:rPr>
        <w:t xml:space="preserve"> to the annual maximum of 9,000-13,000 km</w:t>
      </w:r>
      <w:r w:rsidRPr="00E4462A">
        <w:rPr>
          <w:vertAlign w:val="superscript"/>
          <w:lang w:val="en-US"/>
        </w:rPr>
        <w:t>2</w:t>
      </w:r>
      <w:r w:rsidRPr="00E4462A">
        <w:rPr>
          <w:lang w:val="en-US"/>
        </w:rPr>
        <w:t xml:space="preserve"> (Gieske, 1997; McCarthy et al., 2003). About 88 % of inflowing water leaves the wetland through evaporation (Wolski et al., 2006). Flood water moves in the </w:t>
      </w:r>
      <w:r w:rsidR="001D597E" w:rsidRPr="00E4462A">
        <w:rPr>
          <w:lang w:val="en-US"/>
        </w:rPr>
        <w:t xml:space="preserve">Okavango </w:t>
      </w:r>
      <w:r w:rsidRPr="00E4462A">
        <w:rPr>
          <w:lang w:val="en-US"/>
        </w:rPr>
        <w:t xml:space="preserve">Delta as a combination of channel and floodplain flows. Several zones featuring differences in hydroperiod due to the seasonality of inundation are categorized as the panhandle, permanent swamp, seasonal floodplains, and occasional floodplains (Gumbricht et al., 2004; Cawley et al., 2012).  The permanent swamp is characterized by extensive peat development and dominated by </w:t>
      </w:r>
      <w:r w:rsidRPr="00E4462A">
        <w:rPr>
          <w:i/>
          <w:lang w:val="en-US"/>
        </w:rPr>
        <w:t>Phragmites australis</w:t>
      </w:r>
      <w:r w:rsidRPr="00E4462A">
        <w:rPr>
          <w:lang w:val="en-US"/>
        </w:rPr>
        <w:t xml:space="preserve"> and </w:t>
      </w:r>
      <w:r w:rsidRPr="00E4462A">
        <w:rPr>
          <w:i/>
          <w:lang w:val="en-US"/>
        </w:rPr>
        <w:t xml:space="preserve">C. papyrus </w:t>
      </w:r>
      <w:r w:rsidRPr="00E4462A">
        <w:rPr>
          <w:lang w:val="en-US"/>
        </w:rPr>
        <w:t xml:space="preserve">(Ellery et al., 2003; Mladenov et al., 2007). The seasonal floodplains are less peat rich and support mostly emergent sedges and aquatic macrophytes, while the occasional floodplains, characterized by the shortest hydroperiod are dominated by aquatic grasses. </w:t>
      </w:r>
    </w:p>
    <w:p w14:paraId="2C085997" w14:textId="4510B06D" w:rsidR="00043193" w:rsidRPr="00E4462A" w:rsidRDefault="00043193" w:rsidP="008B22B1">
      <w:pPr>
        <w:spacing w:line="360" w:lineRule="auto"/>
        <w:ind w:firstLine="720"/>
        <w:jc w:val="both"/>
        <w:rPr>
          <w:lang w:val="en-US"/>
        </w:rPr>
      </w:pPr>
      <w:r w:rsidRPr="00E4462A">
        <w:rPr>
          <w:lang w:val="en-US"/>
        </w:rPr>
        <w:t>The Pantanal is a large inland wetland of ca. 160,000 km</w:t>
      </w:r>
      <w:r w:rsidRPr="00E4462A">
        <w:rPr>
          <w:vertAlign w:val="superscript"/>
          <w:lang w:val="en-US"/>
        </w:rPr>
        <w:t>2</w:t>
      </w:r>
      <w:r w:rsidRPr="00E4462A">
        <w:rPr>
          <w:lang w:val="en-US"/>
        </w:rPr>
        <w:t xml:space="preserve">, located mostly in SE Brazil, but also </w:t>
      </w:r>
      <w:r w:rsidR="005C3E1F" w:rsidRPr="00E4462A">
        <w:rPr>
          <w:lang w:val="en-US"/>
        </w:rPr>
        <w:t>extends into</w:t>
      </w:r>
      <w:r w:rsidRPr="00E4462A">
        <w:rPr>
          <w:lang w:val="en-US"/>
        </w:rPr>
        <w:t xml:space="preserve"> Bolivia and </w:t>
      </w:r>
      <w:r w:rsidR="006208A1" w:rsidRPr="00E4462A">
        <w:rPr>
          <w:lang w:val="en-US"/>
        </w:rPr>
        <w:t>Paraguay</w:t>
      </w:r>
      <w:r w:rsidRPr="00E4462A">
        <w:rPr>
          <w:lang w:val="en-US"/>
        </w:rPr>
        <w:t xml:space="preserve"> (Junk and Cunha, 2005</w:t>
      </w:r>
      <w:r w:rsidR="007F3FB0" w:rsidRPr="00E4462A">
        <w:rPr>
          <w:lang w:val="en-US"/>
        </w:rPr>
        <w:t>; Junk et al., 2006b</w:t>
      </w:r>
      <w:r w:rsidRPr="00E4462A">
        <w:rPr>
          <w:lang w:val="en-US"/>
        </w:rPr>
        <w:t xml:space="preserve">). The regional geology (depression) features natural levees along stream channels, and thus the wetland is comprised of a </w:t>
      </w:r>
      <w:r w:rsidR="001D597E" w:rsidRPr="00E4462A">
        <w:rPr>
          <w:lang w:val="en-US"/>
        </w:rPr>
        <w:t>labyrinth</w:t>
      </w:r>
      <w:r w:rsidRPr="00E4462A">
        <w:rPr>
          <w:lang w:val="en-US"/>
        </w:rPr>
        <w:t xml:space="preserve"> o</w:t>
      </w:r>
      <w:r w:rsidR="005C3E1F" w:rsidRPr="00E4462A">
        <w:rPr>
          <w:lang w:val="en-US"/>
        </w:rPr>
        <w:t>f</w:t>
      </w:r>
      <w:r w:rsidRPr="00E4462A">
        <w:rPr>
          <w:lang w:val="en-US"/>
        </w:rPr>
        <w:t xml:space="preserve"> large</w:t>
      </w:r>
      <w:r w:rsidR="007F3FB0" w:rsidRPr="00E4462A">
        <w:rPr>
          <w:lang w:val="en-US"/>
        </w:rPr>
        <w:t xml:space="preserve"> river channels, small streams,</w:t>
      </w:r>
      <w:r w:rsidRPr="00E4462A">
        <w:rPr>
          <w:lang w:val="en-US"/>
        </w:rPr>
        <w:t xml:space="preserve"> canals, and lagoons. Climate conditions lead to clear wet and dry seasons creating a monomodal flood pulse system. The wetland discharges about 80% of its water to the </w:t>
      </w:r>
      <w:r w:rsidR="001D597E" w:rsidRPr="00E4462A">
        <w:rPr>
          <w:lang w:val="en-US"/>
        </w:rPr>
        <w:t>Paraguay</w:t>
      </w:r>
      <w:r w:rsidRPr="00E4462A">
        <w:rPr>
          <w:lang w:val="en-US"/>
        </w:rPr>
        <w:t xml:space="preserve"> River in the southern section of the system. The climate is tropical to sub-tropical with a large number of habitats including savannas and dry forests, leading to </w:t>
      </w:r>
      <w:r w:rsidR="001D597E" w:rsidRPr="00E4462A">
        <w:rPr>
          <w:lang w:val="en-US"/>
        </w:rPr>
        <w:t>broad</w:t>
      </w:r>
      <w:r w:rsidRPr="00E4462A">
        <w:rPr>
          <w:lang w:val="en-US"/>
        </w:rPr>
        <w:t xml:space="preserve"> species diversity. While still mostly pristine, the expansion of cattle ranching surrounding the protected national park and hydrological modifications in the greater watershed have been suggested as potential threats to this ecosystem (Junk and Cunha, 2005).  </w:t>
      </w:r>
    </w:p>
    <w:p w14:paraId="5761D324" w14:textId="3056BF0E" w:rsidR="00043193" w:rsidRPr="00E4462A" w:rsidRDefault="00043193" w:rsidP="008B22B1">
      <w:pPr>
        <w:spacing w:line="360" w:lineRule="auto"/>
        <w:ind w:firstLine="708"/>
        <w:jc w:val="both"/>
        <w:rPr>
          <w:lang w:val="en-US"/>
        </w:rPr>
      </w:pPr>
      <w:r w:rsidRPr="00E4462A">
        <w:rPr>
          <w:lang w:val="en-US"/>
        </w:rPr>
        <w:t xml:space="preserve">Surface water grab samples for the three above-described wetlands were collected in pre-cleaned, brown plastic bottles (60 ml for DOC and optical properties; 2 </w:t>
      </w:r>
      <w:r w:rsidR="004F08AC" w:rsidRPr="00E4462A">
        <w:rPr>
          <w:lang w:val="en-US"/>
        </w:rPr>
        <w:t>L</w:t>
      </w:r>
      <w:r w:rsidRPr="00E4462A">
        <w:rPr>
          <w:lang w:val="en-US"/>
        </w:rPr>
        <w:t xml:space="preserve"> </w:t>
      </w:r>
      <w:r w:rsidR="004F08AC" w:rsidRPr="00E4462A">
        <w:rPr>
          <w:lang w:val="en-US"/>
        </w:rPr>
        <w:t>f</w:t>
      </w:r>
      <w:r w:rsidRPr="00E4462A">
        <w:rPr>
          <w:lang w:val="en-US"/>
        </w:rPr>
        <w:t xml:space="preserve">or solid phase extracts </w:t>
      </w:r>
      <w:r w:rsidR="00AA40F2" w:rsidRPr="00E4462A">
        <w:rPr>
          <w:lang w:val="en-US"/>
        </w:rPr>
        <w:t xml:space="preserve">; </w:t>
      </w:r>
      <w:r w:rsidRPr="00E4462A">
        <w:rPr>
          <w:lang w:val="en-US"/>
        </w:rPr>
        <w:t>SPE</w:t>
      </w:r>
      <w:r w:rsidR="00AA40F2" w:rsidRPr="00E4462A">
        <w:rPr>
          <w:lang w:val="en-US"/>
        </w:rPr>
        <w:t>-DOM</w:t>
      </w:r>
      <w:r w:rsidRPr="00E4462A">
        <w:rPr>
          <w:lang w:val="en-US"/>
        </w:rPr>
        <w:t xml:space="preserve">), placed on ice and filtered through GFF (0.7 </w:t>
      </w:r>
      <w:r w:rsidRPr="00E4462A">
        <w:rPr>
          <w:rFonts w:ascii="Symbol" w:hAnsi="Symbol"/>
        </w:rPr>
        <w:t></w:t>
      </w:r>
      <w:r w:rsidRPr="00E4462A">
        <w:rPr>
          <w:lang w:val="en-US"/>
        </w:rPr>
        <w:t xml:space="preserve">m nominal pore size), pre-combusted glass fiber filters within 6 hours after collection. </w:t>
      </w:r>
      <w:r w:rsidR="003D6FAB" w:rsidRPr="00E4462A">
        <w:rPr>
          <w:lang w:val="en-US"/>
        </w:rPr>
        <w:t xml:space="preserve">For EEM-PARAFAC comparisons, multiple </w:t>
      </w:r>
      <w:r w:rsidR="003D6FAB" w:rsidRPr="00E4462A">
        <w:rPr>
          <w:lang w:val="en-US"/>
        </w:rPr>
        <w:lastRenderedPageBreak/>
        <w:t xml:space="preserve">samples collected monthly over several years  for the FCE (n = 858; Chen et al., 2013), samples collected along a trans-Okavango gradient (n = 38; Cawley et al., 2012), and samples collected in different sub-environments of the Pantanal wetland (n = 22; rivers, lagoons, marshes; unpublished) were used to assess differences and similarities in the fluorescence character of the DOM. </w:t>
      </w:r>
      <w:r w:rsidRPr="00E4462A">
        <w:rPr>
          <w:lang w:val="en-US"/>
        </w:rPr>
        <w:t xml:space="preserve">Sampling </w:t>
      </w:r>
      <w:r w:rsidR="00AA40F2" w:rsidRPr="00E4462A">
        <w:rPr>
          <w:lang w:val="en-US"/>
        </w:rPr>
        <w:t xml:space="preserve">for SPE-DOM </w:t>
      </w:r>
      <w:r w:rsidRPr="00E4462A">
        <w:rPr>
          <w:lang w:val="en-US"/>
        </w:rPr>
        <w:t xml:space="preserve">was performed during </w:t>
      </w:r>
      <w:r w:rsidR="00017AAB" w:rsidRPr="00E4462A">
        <w:rPr>
          <w:lang w:val="en-US"/>
        </w:rPr>
        <w:t xml:space="preserve">summer </w:t>
      </w:r>
      <w:r w:rsidR="00273EE1" w:rsidRPr="00E4462A">
        <w:rPr>
          <w:lang w:val="en-US"/>
        </w:rPr>
        <w:t>2011</w:t>
      </w:r>
      <w:r w:rsidRPr="00E4462A">
        <w:rPr>
          <w:lang w:val="en-US"/>
        </w:rPr>
        <w:t xml:space="preserve"> for the Florida coastal Everglades (FCE</w:t>
      </w:r>
      <w:r w:rsidR="00273EE1" w:rsidRPr="00E4462A">
        <w:rPr>
          <w:lang w:val="en-US"/>
        </w:rPr>
        <w:t>) and during the summer 2010</w:t>
      </w:r>
      <w:r w:rsidRPr="00E4462A">
        <w:rPr>
          <w:lang w:val="en-US"/>
        </w:rPr>
        <w:t xml:space="preserve"> for the Pantanal (PAN) and the </w:t>
      </w:r>
      <w:r w:rsidR="001D597E" w:rsidRPr="00E4462A">
        <w:rPr>
          <w:lang w:val="en-US"/>
        </w:rPr>
        <w:t xml:space="preserve">Okavango </w:t>
      </w:r>
      <w:r w:rsidRPr="00E4462A">
        <w:rPr>
          <w:lang w:val="en-US"/>
        </w:rPr>
        <w:t xml:space="preserve">Delta (OKA) as part of on-going research programs. </w:t>
      </w:r>
      <w:r w:rsidR="00AA40F2" w:rsidRPr="00E4462A">
        <w:rPr>
          <w:lang w:val="en-US"/>
        </w:rPr>
        <w:t xml:space="preserve">Only two SPE-DOM samples from each wetland were selected for detailed NMR and </w:t>
      </w:r>
      <w:r w:rsidR="003D6FAB" w:rsidRPr="00E4462A">
        <w:rPr>
          <w:lang w:val="en-US"/>
        </w:rPr>
        <w:t>FT</w:t>
      </w:r>
      <w:r w:rsidR="00AA40F2" w:rsidRPr="00E4462A">
        <w:rPr>
          <w:lang w:val="en-US"/>
        </w:rPr>
        <w:t xml:space="preserve">ICRMS analyses, and consisted of one sample characteristic for </w:t>
      </w:r>
      <w:r w:rsidR="003D6FAB" w:rsidRPr="00E4462A">
        <w:rPr>
          <w:lang w:val="en-US"/>
        </w:rPr>
        <w:t xml:space="preserve">long hydroperiod (-L) and one for short hydroperiod (-S) environments for each wetland respectively. </w:t>
      </w:r>
      <w:r w:rsidRPr="00E4462A">
        <w:rPr>
          <w:lang w:val="en-US"/>
        </w:rPr>
        <w:t xml:space="preserve">. For the </w:t>
      </w:r>
      <w:r w:rsidR="008103D9" w:rsidRPr="00E4462A">
        <w:rPr>
          <w:lang w:val="en-US"/>
        </w:rPr>
        <w:t xml:space="preserve">Florida Coastal </w:t>
      </w:r>
      <w:r w:rsidRPr="00E4462A">
        <w:rPr>
          <w:lang w:val="en-US"/>
        </w:rPr>
        <w:t>Everglades</w:t>
      </w:r>
      <w:r w:rsidR="008103D9" w:rsidRPr="00E4462A">
        <w:rPr>
          <w:lang w:val="en-US"/>
        </w:rPr>
        <w:t xml:space="preserve"> (FCE)</w:t>
      </w:r>
      <w:r w:rsidRPr="00E4462A">
        <w:rPr>
          <w:lang w:val="en-US"/>
        </w:rPr>
        <w:t>, samples were collected from the freshwater marsh, peat-soil do</w:t>
      </w:r>
      <w:r w:rsidR="008103D9" w:rsidRPr="00E4462A">
        <w:rPr>
          <w:lang w:val="en-US"/>
        </w:rPr>
        <w:t>minated Shark River Slough (FCE-L</w:t>
      </w:r>
      <w:r w:rsidRPr="00E4462A">
        <w:rPr>
          <w:lang w:val="en-US"/>
        </w:rPr>
        <w:t>) and the marl-s</w:t>
      </w:r>
      <w:r w:rsidR="008103D9" w:rsidRPr="00E4462A">
        <w:rPr>
          <w:lang w:val="en-US"/>
        </w:rPr>
        <w:t>oil dominated Taylor Slough (FCE-S), from the Okav</w:t>
      </w:r>
      <w:r w:rsidRPr="00E4462A">
        <w:rPr>
          <w:lang w:val="en-US"/>
        </w:rPr>
        <w:t>ango Delta</w:t>
      </w:r>
      <w:r w:rsidR="008103D9" w:rsidRPr="00E4462A">
        <w:rPr>
          <w:lang w:val="en-US"/>
        </w:rPr>
        <w:t xml:space="preserve"> (OKA) seasonal floodplain (OKA-L</w:t>
      </w:r>
      <w:r w:rsidRPr="00E4462A">
        <w:rPr>
          <w:lang w:val="en-US"/>
        </w:rPr>
        <w:t>) and occasional floodplain (OKA</w:t>
      </w:r>
      <w:r w:rsidR="008103D9" w:rsidRPr="00E4462A">
        <w:rPr>
          <w:lang w:val="en-US"/>
        </w:rPr>
        <w:t>-S</w:t>
      </w:r>
      <w:r w:rsidRPr="00E4462A">
        <w:rPr>
          <w:lang w:val="en-US"/>
        </w:rPr>
        <w:t xml:space="preserve">) along the Boro River (Cawley et al., 2012), and the </w:t>
      </w:r>
      <w:r w:rsidR="008103D9" w:rsidRPr="00E4462A">
        <w:rPr>
          <w:lang w:val="en-US"/>
        </w:rPr>
        <w:t>Paraguay River (PAN-L</w:t>
      </w:r>
      <w:r w:rsidRPr="00E4462A">
        <w:rPr>
          <w:lang w:val="en-US"/>
        </w:rPr>
        <w:t xml:space="preserve">) and a wetland channel </w:t>
      </w:r>
      <w:r w:rsidR="008103D9" w:rsidRPr="00E4462A">
        <w:rPr>
          <w:lang w:val="en-US"/>
        </w:rPr>
        <w:t>in Pantanal National Park (PAN-S</w:t>
      </w:r>
      <w:r w:rsidRPr="00E4462A">
        <w:rPr>
          <w:lang w:val="en-US"/>
        </w:rPr>
        <w:t>; Chacra de Solange) for the Pantanal</w:t>
      </w:r>
      <w:r w:rsidR="00E91615" w:rsidRPr="00E4462A">
        <w:rPr>
          <w:lang w:val="en-US"/>
        </w:rPr>
        <w:t xml:space="preserve"> (PAN)</w:t>
      </w:r>
      <w:r w:rsidRPr="00E4462A">
        <w:rPr>
          <w:lang w:val="en-US"/>
        </w:rPr>
        <w:t xml:space="preserve">. </w:t>
      </w:r>
      <w:r w:rsidR="00F33DFB" w:rsidRPr="00E4462A">
        <w:rPr>
          <w:lang w:val="en-US"/>
        </w:rPr>
        <w:t>Representative sample</w:t>
      </w:r>
      <w:r w:rsidR="003D6FAB" w:rsidRPr="00E4462A">
        <w:rPr>
          <w:lang w:val="en-US"/>
        </w:rPr>
        <w:t xml:space="preserve"> selection for long and short hydroperiod sites was based on previous reports for the FCE and OKA (Chen et al., 2013; Cawley et al., 2012), and </w:t>
      </w:r>
      <w:r w:rsidR="00FC5AF8" w:rsidRPr="00E4462A">
        <w:rPr>
          <w:lang w:val="en-US"/>
        </w:rPr>
        <w:t>advic</w:t>
      </w:r>
      <w:r w:rsidR="00F33DFB" w:rsidRPr="00E4462A">
        <w:rPr>
          <w:lang w:val="en-US"/>
        </w:rPr>
        <w:t xml:space="preserve">e from local wetlands scientists for the PAN (C. Nunes da Cunha personal communication). </w:t>
      </w:r>
      <w:r w:rsidRPr="00E4462A">
        <w:rPr>
          <w:lang w:val="en-US"/>
        </w:rPr>
        <w:t xml:space="preserve">The </w:t>
      </w:r>
      <w:r w:rsidR="001C4C9A" w:rsidRPr="00E4462A">
        <w:rPr>
          <w:lang w:val="en-US"/>
        </w:rPr>
        <w:t xml:space="preserve">filtered </w:t>
      </w:r>
      <w:r w:rsidRPr="00E4462A">
        <w:rPr>
          <w:lang w:val="en-US"/>
        </w:rPr>
        <w:t>samples were subjected to SPE isolation (Dittmar</w:t>
      </w:r>
      <w:r w:rsidR="00455703" w:rsidRPr="00E4462A">
        <w:rPr>
          <w:lang w:val="en-US"/>
        </w:rPr>
        <w:t xml:space="preserve"> et al.</w:t>
      </w:r>
      <w:r w:rsidRPr="00E4462A">
        <w:rPr>
          <w:lang w:val="en-US"/>
        </w:rPr>
        <w:t>, 2008). Briefly, samples were acidified to a pH 2 using concentrated HCl. DOM in the acidified samples was extracted using PPL (Varian Bond Elut) cartridges and eluted with methanol (Optima</w:t>
      </w:r>
      <w:r w:rsidR="007611E4" w:rsidRPr="00E4462A">
        <w:rPr>
          <w:lang w:val="en-US"/>
        </w:rPr>
        <w:t xml:space="preserve">, Fisher). The isolated SPE-DOM </w:t>
      </w:r>
      <w:r w:rsidRPr="00E4462A">
        <w:rPr>
          <w:lang w:val="en-US"/>
        </w:rPr>
        <w:t xml:space="preserve">extracts </w:t>
      </w:r>
      <w:r w:rsidR="007611E4" w:rsidRPr="00E4462A">
        <w:rPr>
          <w:lang w:val="en-US"/>
        </w:rPr>
        <w:t xml:space="preserve">(referred from here on as DOM for the NMR and FT-ICRMS data) </w:t>
      </w:r>
      <w:r w:rsidRPr="00E4462A">
        <w:rPr>
          <w:lang w:val="en-US"/>
        </w:rPr>
        <w:t>were stored in pre-combusted glass vials and kept in a freezer until analyzed. Milli-Q water was used as a procedural blank and no contamination was observed. DOC measurements were made within three weeks</w:t>
      </w:r>
      <w:r w:rsidR="001C4C9A" w:rsidRPr="00E4462A">
        <w:rPr>
          <w:lang w:val="en-US"/>
        </w:rPr>
        <w:t xml:space="preserve"> of sample collection</w:t>
      </w:r>
      <w:r w:rsidRPr="00E4462A">
        <w:rPr>
          <w:lang w:val="en-US"/>
        </w:rPr>
        <w:t xml:space="preserve"> at the Southeast Environmental Research Center’s water quality lab at Florida International University with a Shimadzu TOC-V CSH TOC analyzer using a high temperature combustion method.</w:t>
      </w:r>
    </w:p>
    <w:p w14:paraId="5EEDEB63" w14:textId="4A7C5F4B" w:rsidR="00043193" w:rsidRPr="00E4462A" w:rsidRDefault="00331408" w:rsidP="008B22B1">
      <w:pPr>
        <w:pStyle w:val="ColorfulList-Accent11"/>
        <w:spacing w:before="360" w:after="360" w:line="360" w:lineRule="auto"/>
        <w:ind w:left="0"/>
        <w:jc w:val="both"/>
        <w:rPr>
          <w:rFonts w:ascii="Times New Roman" w:hAnsi="Times New Roman" w:cs="Times New Roman"/>
          <w:sz w:val="24"/>
          <w:szCs w:val="24"/>
        </w:rPr>
      </w:pPr>
      <w:r w:rsidRPr="00E4462A">
        <w:rPr>
          <w:rFonts w:ascii="Times New Roman" w:hAnsi="Times New Roman" w:cs="Times New Roman"/>
          <w:i/>
          <w:sz w:val="24"/>
          <w:szCs w:val="24"/>
          <w:lang w:val="en-GB"/>
        </w:rPr>
        <w:t xml:space="preserve">2b) </w:t>
      </w:r>
      <w:r w:rsidR="00043193" w:rsidRPr="00E4462A">
        <w:rPr>
          <w:rFonts w:ascii="Times New Roman" w:hAnsi="Times New Roman" w:cs="Times New Roman"/>
          <w:i/>
          <w:sz w:val="24"/>
          <w:szCs w:val="24"/>
          <w:lang w:val="en-GB"/>
        </w:rPr>
        <w:t>Optical properties analyses:</w:t>
      </w:r>
      <w:r w:rsidR="00043193" w:rsidRPr="00E4462A">
        <w:rPr>
          <w:rFonts w:ascii="Times New Roman" w:hAnsi="Times New Roman" w:cs="Times New Roman"/>
          <w:sz w:val="24"/>
          <w:szCs w:val="24"/>
          <w:lang w:val="en-GB"/>
        </w:rPr>
        <w:t xml:space="preserve"> </w:t>
      </w:r>
      <w:r w:rsidR="00043193" w:rsidRPr="00E4462A">
        <w:rPr>
          <w:rFonts w:ascii="Times New Roman" w:hAnsi="Times New Roman" w:cs="Times New Roman"/>
          <w:sz w:val="24"/>
          <w:szCs w:val="24"/>
        </w:rPr>
        <w:t>UV-Vis absorbance scans for filtered samples were collected on a Varian Cary 50 Bio spectrophotometer and collected over a range of 200 nm to 800 nm in a 1-cm quartz cuvette. The optical proxy for molecular weight (</w:t>
      </w:r>
      <w:r w:rsidR="002B3CE9" w:rsidRPr="00E4462A">
        <w:rPr>
          <w:rFonts w:ascii="Times New Roman" w:hAnsi="Times New Roman" w:cs="Times New Roman"/>
          <w:sz w:val="24"/>
          <w:szCs w:val="24"/>
        </w:rPr>
        <w:t xml:space="preserve">slope ratio; </w:t>
      </w:r>
      <w:r w:rsidR="00043193" w:rsidRPr="00E4462A">
        <w:rPr>
          <w:rFonts w:ascii="Times New Roman" w:hAnsi="Times New Roman" w:cs="Times New Roman"/>
          <w:sz w:val="24"/>
          <w:szCs w:val="24"/>
        </w:rPr>
        <w:t>S</w:t>
      </w:r>
      <w:r w:rsidR="00043193" w:rsidRPr="00E4462A">
        <w:rPr>
          <w:rFonts w:ascii="Times New Roman" w:hAnsi="Times New Roman" w:cs="Times New Roman"/>
          <w:sz w:val="24"/>
          <w:szCs w:val="24"/>
          <w:vertAlign w:val="subscript"/>
        </w:rPr>
        <w:t>R</w:t>
      </w:r>
      <w:r w:rsidR="00043193" w:rsidRPr="00E4462A">
        <w:rPr>
          <w:rFonts w:ascii="Times New Roman" w:hAnsi="Times New Roman" w:cs="Times New Roman"/>
          <w:sz w:val="24"/>
          <w:szCs w:val="24"/>
        </w:rPr>
        <w:t xml:space="preserve">) and the fluorescence index (FI) were determined as described in the literature (Helms et al., 2008; McKnight et al., </w:t>
      </w:r>
      <w:r w:rsidR="00043193" w:rsidRPr="00E4462A">
        <w:rPr>
          <w:rFonts w:ascii="Times New Roman" w:hAnsi="Times New Roman" w:cs="Times New Roman"/>
          <w:sz w:val="24"/>
          <w:szCs w:val="24"/>
        </w:rPr>
        <w:lastRenderedPageBreak/>
        <w:t>2001 respectively), where the S</w:t>
      </w:r>
      <w:r w:rsidR="00043193" w:rsidRPr="00E4462A">
        <w:rPr>
          <w:rFonts w:ascii="Times New Roman" w:hAnsi="Times New Roman" w:cs="Times New Roman"/>
          <w:sz w:val="24"/>
          <w:szCs w:val="24"/>
          <w:vertAlign w:val="subscript"/>
        </w:rPr>
        <w:t>R</w:t>
      </w:r>
      <w:r w:rsidR="00043193" w:rsidRPr="00E4462A">
        <w:rPr>
          <w:rFonts w:ascii="Times New Roman" w:hAnsi="Times New Roman" w:cs="Times New Roman"/>
          <w:sz w:val="24"/>
          <w:szCs w:val="24"/>
        </w:rPr>
        <w:t xml:space="preserve"> value is inversely proportional to the DOM molecular weight, and FI values determined by the ratio of 470/520 nm emission at 370 excitation (Jaffé et al., 2008) can range between 1.4 and 1.9 for soil/terrestrial higher plant and microbial DOM sources</w:t>
      </w:r>
      <w:r w:rsidR="001C4C9A" w:rsidRPr="00E4462A">
        <w:rPr>
          <w:rFonts w:ascii="Times New Roman" w:hAnsi="Times New Roman" w:cs="Times New Roman"/>
          <w:sz w:val="24"/>
          <w:szCs w:val="24"/>
        </w:rPr>
        <w:t>,</w:t>
      </w:r>
      <w:r w:rsidR="00043193" w:rsidRPr="00E4462A">
        <w:rPr>
          <w:rFonts w:ascii="Times New Roman" w:hAnsi="Times New Roman" w:cs="Times New Roman"/>
          <w:sz w:val="24"/>
          <w:szCs w:val="24"/>
        </w:rPr>
        <w:t xml:space="preserve"> respectively. A blank scan (Milli-Q water) was subtracted from each sample spectrum and spectra were baseline normalized using the average absorbance between 700-800 nm. The absorbance at 254 nm (A</w:t>
      </w:r>
      <w:r w:rsidR="00043193" w:rsidRPr="00E4462A">
        <w:rPr>
          <w:rFonts w:ascii="Times New Roman" w:hAnsi="Times New Roman" w:cs="Times New Roman"/>
          <w:sz w:val="24"/>
          <w:szCs w:val="24"/>
          <w:vertAlign w:val="subscript"/>
        </w:rPr>
        <w:t>254</w:t>
      </w:r>
      <w:r w:rsidR="00043193" w:rsidRPr="00E4462A">
        <w:rPr>
          <w:rFonts w:ascii="Times New Roman" w:hAnsi="Times New Roman" w:cs="Times New Roman"/>
          <w:sz w:val="24"/>
          <w:szCs w:val="24"/>
        </w:rPr>
        <w:t>) was also determined and normalized to DOC to obtain</w:t>
      </w:r>
      <w:r w:rsidR="003845AF" w:rsidRPr="00E4462A">
        <w:rPr>
          <w:rFonts w:ascii="Times New Roman" w:hAnsi="Times New Roman" w:cs="Times New Roman"/>
          <w:sz w:val="24"/>
          <w:szCs w:val="24"/>
        </w:rPr>
        <w:t xml:space="preserve"> standard UV absorbance values</w:t>
      </w:r>
      <w:r w:rsidR="00043193" w:rsidRPr="00E4462A">
        <w:rPr>
          <w:rFonts w:ascii="Times New Roman" w:hAnsi="Times New Roman" w:cs="Times New Roman"/>
          <w:sz w:val="24"/>
          <w:szCs w:val="24"/>
        </w:rPr>
        <w:t xml:space="preserve"> </w:t>
      </w:r>
      <w:r w:rsidR="003845AF" w:rsidRPr="00E4462A">
        <w:rPr>
          <w:rFonts w:ascii="Times New Roman" w:hAnsi="Times New Roman" w:cs="Times New Roman"/>
          <w:sz w:val="24"/>
          <w:szCs w:val="24"/>
        </w:rPr>
        <w:t>(</w:t>
      </w:r>
      <w:r w:rsidR="00043193" w:rsidRPr="00E4462A">
        <w:rPr>
          <w:rFonts w:ascii="Times New Roman" w:hAnsi="Times New Roman" w:cs="Times New Roman"/>
          <w:sz w:val="24"/>
          <w:szCs w:val="24"/>
        </w:rPr>
        <w:t>SUVA</w:t>
      </w:r>
      <w:r w:rsidR="00043193" w:rsidRPr="00E4462A">
        <w:rPr>
          <w:rFonts w:ascii="Times New Roman" w:hAnsi="Times New Roman" w:cs="Times New Roman"/>
          <w:sz w:val="24"/>
          <w:szCs w:val="24"/>
          <w:vertAlign w:val="subscript"/>
        </w:rPr>
        <w:t>254</w:t>
      </w:r>
      <w:r w:rsidR="003845AF" w:rsidRPr="00E4462A">
        <w:rPr>
          <w:rFonts w:ascii="Times New Roman" w:hAnsi="Times New Roman" w:cs="Times New Roman"/>
          <w:sz w:val="24"/>
          <w:szCs w:val="24"/>
        </w:rPr>
        <w:t xml:space="preserve">; </w:t>
      </w:r>
      <w:r w:rsidR="00043193" w:rsidRPr="00E4462A">
        <w:rPr>
          <w:rFonts w:ascii="Times New Roman" w:hAnsi="Times New Roman" w:cs="Times New Roman"/>
          <w:sz w:val="24"/>
          <w:szCs w:val="24"/>
        </w:rPr>
        <w:t>Weishaar et al., 2003). Samples were analyzed for fluorescence within two weeks of collection. Fluorescence EEMs were collected on a Horiba Jobin Yvon SPEX Fluoromax-3 spectrofluorometer using the methods of Maie et al. (2006) and Yamashita et al. (2010). Briefly, EEMs were collected over an excitation wavelength (</w:t>
      </w:r>
      <w:r w:rsidR="00043193" w:rsidRPr="00E4462A">
        <w:rPr>
          <w:rFonts w:ascii="Symbol" w:hAnsi="Symbol" w:cs="Times New Roman"/>
          <w:sz w:val="24"/>
          <w:szCs w:val="24"/>
        </w:rPr>
        <w:t></w:t>
      </w:r>
      <w:r w:rsidR="00043193" w:rsidRPr="00E4462A">
        <w:rPr>
          <w:rFonts w:ascii="Times New Roman" w:hAnsi="Times New Roman" w:cs="Times New Roman"/>
          <w:sz w:val="24"/>
          <w:szCs w:val="24"/>
          <w:vertAlign w:val="subscript"/>
        </w:rPr>
        <w:t>ex</w:t>
      </w:r>
      <w:r w:rsidR="00043193" w:rsidRPr="00E4462A">
        <w:rPr>
          <w:rFonts w:ascii="Times New Roman" w:hAnsi="Times New Roman" w:cs="Times New Roman"/>
          <w:sz w:val="24"/>
          <w:szCs w:val="24"/>
        </w:rPr>
        <w:t xml:space="preserve">) range of 240 – 455 nm with an increment of 5 nm and an emission range of </w:t>
      </w:r>
      <w:r w:rsidR="00043193" w:rsidRPr="00E4462A">
        <w:rPr>
          <w:rFonts w:ascii="Symbol" w:hAnsi="Symbol" w:cs="Times New Roman"/>
          <w:sz w:val="24"/>
          <w:szCs w:val="24"/>
        </w:rPr>
        <w:t></w:t>
      </w:r>
      <w:r w:rsidR="00043193" w:rsidRPr="00E4462A">
        <w:rPr>
          <w:rFonts w:ascii="Times New Roman" w:hAnsi="Times New Roman" w:cs="Times New Roman"/>
          <w:sz w:val="24"/>
          <w:szCs w:val="24"/>
          <w:vertAlign w:val="subscript"/>
        </w:rPr>
        <w:t>ex</w:t>
      </w:r>
      <w:r w:rsidR="00043193" w:rsidRPr="00E4462A">
        <w:rPr>
          <w:rFonts w:ascii="Times New Roman" w:hAnsi="Times New Roman" w:cs="Times New Roman"/>
          <w:sz w:val="24"/>
          <w:szCs w:val="24"/>
        </w:rPr>
        <w:t xml:space="preserve"> + 10 nm to </w:t>
      </w:r>
      <w:r w:rsidR="00043193" w:rsidRPr="00E4462A">
        <w:rPr>
          <w:rFonts w:ascii="Symbol" w:hAnsi="Symbol" w:cs="Times New Roman"/>
          <w:sz w:val="24"/>
          <w:szCs w:val="24"/>
        </w:rPr>
        <w:t></w:t>
      </w:r>
      <w:r w:rsidR="00043193" w:rsidRPr="00E4462A">
        <w:rPr>
          <w:rFonts w:ascii="Times New Roman" w:hAnsi="Times New Roman" w:cs="Times New Roman"/>
          <w:sz w:val="24"/>
          <w:szCs w:val="24"/>
          <w:vertAlign w:val="subscript"/>
        </w:rPr>
        <w:t>ex</w:t>
      </w:r>
      <w:r w:rsidR="00043193" w:rsidRPr="00E4462A">
        <w:rPr>
          <w:rFonts w:ascii="Times New Roman" w:hAnsi="Times New Roman" w:cs="Times New Roman"/>
          <w:sz w:val="24"/>
          <w:szCs w:val="24"/>
        </w:rPr>
        <w:t xml:space="preserve"> + 250 nm with an increment of 2 nm in a 1 cm quartz cuvette. The excitation and emission slit widths were set to 5.7 nm and 2 nm, respectively. Fluorescence scans were collected in signal/reference ratio mode with an integration time of 0.25 s and reported in quinine sulfate units (QSU). EEMs were corrected for instruments optics and inner-filter effects according to Ohno (2002) and Raman normalized and blank subtracted using Matlab v2009a software. EEMs were modeled using Matlab v2009a and fit to an eight component PARAFAC model described in Chen et al. (2010) and Yamashita et al. (2010) that was comprised of FCE samples only.</w:t>
      </w:r>
      <w:r w:rsidR="00672D93" w:rsidRPr="00E4462A">
        <w:rPr>
          <w:rFonts w:ascii="Times New Roman" w:hAnsi="Times New Roman" w:cs="Times New Roman"/>
          <w:sz w:val="24"/>
          <w:szCs w:val="24"/>
        </w:rPr>
        <w:t xml:space="preserve"> Results from optical properties determinations are shown in Table 1</w:t>
      </w:r>
      <w:r w:rsidR="00014B76" w:rsidRPr="00E4462A">
        <w:rPr>
          <w:rFonts w:ascii="Times New Roman" w:hAnsi="Times New Roman" w:cs="Times New Roman"/>
          <w:sz w:val="24"/>
          <w:szCs w:val="24"/>
        </w:rPr>
        <w:t xml:space="preserve"> and Figure 1</w:t>
      </w:r>
      <w:r w:rsidR="00672D93" w:rsidRPr="00E4462A">
        <w:rPr>
          <w:rFonts w:ascii="Times New Roman" w:hAnsi="Times New Roman" w:cs="Times New Roman"/>
          <w:sz w:val="24"/>
          <w:szCs w:val="24"/>
        </w:rPr>
        <w:t>.</w:t>
      </w:r>
    </w:p>
    <w:p w14:paraId="686C109A" w14:textId="7D890830" w:rsidR="00043193" w:rsidRPr="00E4462A" w:rsidRDefault="00331408" w:rsidP="008B22B1">
      <w:pPr>
        <w:spacing w:line="360" w:lineRule="auto"/>
        <w:jc w:val="both"/>
        <w:outlineLvl w:val="0"/>
        <w:rPr>
          <w:b/>
          <w:lang w:val="en-GB"/>
        </w:rPr>
      </w:pPr>
      <w:r w:rsidRPr="00E4462A">
        <w:rPr>
          <w:i/>
          <w:lang w:val="en-GB"/>
        </w:rPr>
        <w:t xml:space="preserve">2c) </w:t>
      </w:r>
      <w:r w:rsidR="00043193" w:rsidRPr="00E4462A">
        <w:rPr>
          <w:i/>
          <w:lang w:val="en-GB"/>
        </w:rPr>
        <w:t>Nuclear magnetic resonance spectroscopy (NMR):</w:t>
      </w:r>
      <w:r w:rsidR="00043193" w:rsidRPr="00E4462A">
        <w:rPr>
          <w:b/>
          <w:lang w:val="en-GB"/>
        </w:rPr>
        <w:t xml:space="preserve"> </w:t>
      </w:r>
      <w:r w:rsidR="0002238E" w:rsidRPr="00E4462A">
        <w:rPr>
          <w:vertAlign w:val="superscript"/>
          <w:lang w:val="en-GB"/>
        </w:rPr>
        <w:t>1</w:t>
      </w:r>
      <w:r w:rsidR="0002238E" w:rsidRPr="00E4462A">
        <w:rPr>
          <w:lang w:val="en-GB"/>
        </w:rPr>
        <w:t>H</w:t>
      </w:r>
      <w:r w:rsidR="0002238E" w:rsidRPr="00E4462A">
        <w:rPr>
          <w:b/>
          <w:lang w:val="en-GB"/>
        </w:rPr>
        <w:t xml:space="preserve"> </w:t>
      </w:r>
      <w:r w:rsidR="00043193" w:rsidRPr="00E4462A">
        <w:rPr>
          <w:lang w:val="en-GB"/>
        </w:rPr>
        <w:t xml:space="preserve">NMR </w:t>
      </w:r>
      <w:r w:rsidR="0002238E" w:rsidRPr="00E4462A">
        <w:rPr>
          <w:lang w:val="en-GB"/>
        </w:rPr>
        <w:t xml:space="preserve">detected </w:t>
      </w:r>
      <w:r w:rsidR="00043193" w:rsidRPr="00E4462A">
        <w:rPr>
          <w:lang w:val="en-GB"/>
        </w:rPr>
        <w:t>spectra</w:t>
      </w:r>
      <w:r w:rsidR="00043193" w:rsidRPr="00E4462A">
        <w:rPr>
          <w:rFonts w:hint="eastAsia"/>
          <w:lang w:val="en-GB"/>
        </w:rPr>
        <w:t xml:space="preserve"> </w:t>
      </w:r>
      <w:r w:rsidR="00043193" w:rsidRPr="00E4462A">
        <w:rPr>
          <w:lang w:val="en-GB"/>
        </w:rPr>
        <w:t xml:space="preserve">of methanolic </w:t>
      </w:r>
      <w:r w:rsidR="0002238E" w:rsidRPr="00E4462A">
        <w:rPr>
          <w:lang w:val="en-GB"/>
        </w:rPr>
        <w:t>DOM</w:t>
      </w:r>
      <w:r w:rsidR="00043193" w:rsidRPr="00E4462A">
        <w:rPr>
          <w:lang w:val="en-GB"/>
        </w:rPr>
        <w:t xml:space="preserve"> extracts </w:t>
      </w:r>
      <w:r w:rsidR="00043193" w:rsidRPr="00E4462A">
        <w:rPr>
          <w:rFonts w:hint="eastAsia"/>
          <w:lang w:val="en-GB"/>
        </w:rPr>
        <w:t xml:space="preserve">were </w:t>
      </w:r>
      <w:r w:rsidR="00043193" w:rsidRPr="00E4462A">
        <w:rPr>
          <w:lang w:val="en-GB"/>
        </w:rPr>
        <w:t>acquired</w:t>
      </w:r>
      <w:r w:rsidR="00043193" w:rsidRPr="00E4462A">
        <w:rPr>
          <w:rFonts w:hint="eastAsia"/>
          <w:lang w:val="en-GB"/>
        </w:rPr>
        <w:t xml:space="preserve"> with a Bruker </w:t>
      </w:r>
      <w:r w:rsidR="00043193" w:rsidRPr="00E4462A">
        <w:rPr>
          <w:lang w:val="en-GB"/>
        </w:rPr>
        <w:t xml:space="preserve">Avance NMR spectrometer at </w:t>
      </w:r>
      <w:r w:rsidR="00067843" w:rsidRPr="00E4462A">
        <w:rPr>
          <w:lang w:val="en-GB"/>
        </w:rPr>
        <w:t xml:space="preserve">500.13 (1D NMR only) / </w:t>
      </w:r>
      <w:r w:rsidR="0002238E" w:rsidRPr="00E4462A">
        <w:rPr>
          <w:lang w:val="en-GB"/>
        </w:rPr>
        <w:t>8</w:t>
      </w:r>
      <w:r w:rsidR="00043193" w:rsidRPr="00E4462A">
        <w:rPr>
          <w:lang w:val="en-GB"/>
        </w:rPr>
        <w:t>00.13 MHz (B</w:t>
      </w:r>
      <w:r w:rsidR="00043193" w:rsidRPr="00E4462A">
        <w:rPr>
          <w:vertAlign w:val="subscript"/>
          <w:lang w:val="en-GB"/>
        </w:rPr>
        <w:t>0</w:t>
      </w:r>
      <w:r w:rsidR="00043193" w:rsidRPr="00E4462A">
        <w:rPr>
          <w:lang w:val="en-GB"/>
        </w:rPr>
        <w:t xml:space="preserve"> = </w:t>
      </w:r>
      <w:r w:rsidR="00067843" w:rsidRPr="00E4462A">
        <w:rPr>
          <w:lang w:val="en-GB"/>
        </w:rPr>
        <w:t xml:space="preserve">11.7 / </w:t>
      </w:r>
      <w:r w:rsidR="00043193" w:rsidRPr="00E4462A">
        <w:rPr>
          <w:lang w:val="en-GB"/>
        </w:rPr>
        <w:t>1</w:t>
      </w:r>
      <w:r w:rsidR="0002238E" w:rsidRPr="00E4462A">
        <w:rPr>
          <w:lang w:val="en-GB"/>
        </w:rPr>
        <w:t>8</w:t>
      </w:r>
      <w:r w:rsidR="00043193" w:rsidRPr="00E4462A">
        <w:rPr>
          <w:lang w:val="en-GB"/>
        </w:rPr>
        <w:t>.7 T) at 283 K from a few mg of solid obtained by evaporation of original methanol-h</w:t>
      </w:r>
      <w:r w:rsidR="00043193" w:rsidRPr="00E4462A">
        <w:rPr>
          <w:vertAlign w:val="subscript"/>
          <w:lang w:val="en-GB"/>
        </w:rPr>
        <w:t>4</w:t>
      </w:r>
      <w:r w:rsidR="00043193" w:rsidRPr="00E4462A">
        <w:rPr>
          <w:lang w:val="en-GB"/>
        </w:rPr>
        <w:t xml:space="preserve"> solution</w:t>
      </w:r>
      <w:r w:rsidR="0002238E" w:rsidRPr="00E4462A">
        <w:rPr>
          <w:lang w:val="en-GB"/>
        </w:rPr>
        <w:t>, dissolved</w:t>
      </w:r>
      <w:r w:rsidR="00043193" w:rsidRPr="00E4462A">
        <w:rPr>
          <w:rFonts w:hint="eastAsia"/>
          <w:lang w:val="en-GB"/>
        </w:rPr>
        <w:t xml:space="preserve"> </w:t>
      </w:r>
      <w:r w:rsidR="00043193" w:rsidRPr="00E4462A">
        <w:rPr>
          <w:lang w:val="en-GB"/>
        </w:rPr>
        <w:t>in approx. 130 µL CD</w:t>
      </w:r>
      <w:r w:rsidR="00043193" w:rsidRPr="00E4462A">
        <w:rPr>
          <w:vertAlign w:val="subscript"/>
          <w:lang w:val="en-GB"/>
        </w:rPr>
        <w:t>3</w:t>
      </w:r>
      <w:r w:rsidR="00043193" w:rsidRPr="00E4462A">
        <w:rPr>
          <w:lang w:val="en-GB"/>
        </w:rPr>
        <w:t xml:space="preserve">OD (Merck. 99.95% </w:t>
      </w:r>
      <w:r w:rsidR="00043193" w:rsidRPr="00E4462A">
        <w:rPr>
          <w:vertAlign w:val="superscript"/>
          <w:lang w:val="en-GB"/>
        </w:rPr>
        <w:t>2</w:t>
      </w:r>
      <w:r w:rsidR="00043193" w:rsidRPr="00E4462A">
        <w:rPr>
          <w:lang w:val="en-GB"/>
        </w:rPr>
        <w:t xml:space="preserve">H) solution </w:t>
      </w:r>
      <w:r w:rsidR="00043193" w:rsidRPr="00E4462A">
        <w:rPr>
          <w:rFonts w:hint="eastAsia"/>
          <w:lang w:val="en-GB"/>
        </w:rPr>
        <w:t xml:space="preserve">with a 5 mm z-gradient </w:t>
      </w:r>
      <w:r w:rsidR="00043193" w:rsidRPr="00E4462A">
        <w:rPr>
          <w:rFonts w:hint="eastAsia"/>
          <w:vertAlign w:val="superscript"/>
          <w:lang w:val="en-GB"/>
        </w:rPr>
        <w:t>1</w:t>
      </w:r>
      <w:r w:rsidR="00043193" w:rsidRPr="00E4462A">
        <w:rPr>
          <w:rFonts w:hint="eastAsia"/>
          <w:lang w:val="en-GB"/>
        </w:rPr>
        <w:t>H</w:t>
      </w:r>
      <w:r w:rsidR="00043193" w:rsidRPr="00E4462A">
        <w:rPr>
          <w:lang w:val="en-GB"/>
        </w:rPr>
        <w:t xml:space="preserve"> </w:t>
      </w:r>
      <w:r w:rsidR="00043193" w:rsidRPr="00E4462A">
        <w:rPr>
          <w:rFonts w:hint="eastAsia"/>
          <w:lang w:val="en-GB"/>
        </w:rPr>
        <w:t xml:space="preserve">/ </w:t>
      </w:r>
      <w:r w:rsidR="00043193" w:rsidRPr="00E4462A">
        <w:rPr>
          <w:rFonts w:hint="eastAsia"/>
          <w:vertAlign w:val="superscript"/>
          <w:lang w:val="en-GB"/>
        </w:rPr>
        <w:t>13</w:t>
      </w:r>
      <w:r w:rsidR="00043193" w:rsidRPr="00E4462A">
        <w:rPr>
          <w:rFonts w:hint="eastAsia"/>
          <w:lang w:val="en-GB"/>
        </w:rPr>
        <w:t xml:space="preserve">C </w:t>
      </w:r>
      <w:r w:rsidR="00043193" w:rsidRPr="00E4462A">
        <w:rPr>
          <w:lang w:val="en-GB"/>
        </w:rPr>
        <w:t xml:space="preserve">/ </w:t>
      </w:r>
      <w:r w:rsidR="00043193" w:rsidRPr="00E4462A">
        <w:rPr>
          <w:rFonts w:hint="eastAsia"/>
          <w:vertAlign w:val="superscript"/>
          <w:lang w:val="en-GB"/>
        </w:rPr>
        <w:t>15</w:t>
      </w:r>
      <w:r w:rsidR="00043193" w:rsidRPr="00E4462A">
        <w:rPr>
          <w:rFonts w:hint="eastAsia"/>
          <w:lang w:val="en-GB"/>
        </w:rPr>
        <w:t xml:space="preserve">N </w:t>
      </w:r>
      <w:r w:rsidR="0002238E" w:rsidRPr="00E4462A">
        <w:rPr>
          <w:lang w:val="en-GB"/>
        </w:rPr>
        <w:t xml:space="preserve">/ </w:t>
      </w:r>
      <w:r w:rsidR="0002238E" w:rsidRPr="00E4462A">
        <w:rPr>
          <w:vertAlign w:val="superscript"/>
          <w:lang w:val="en-GB"/>
        </w:rPr>
        <w:t>31</w:t>
      </w:r>
      <w:r w:rsidR="0002238E" w:rsidRPr="00E4462A">
        <w:rPr>
          <w:lang w:val="en-GB"/>
        </w:rPr>
        <w:t>P QCI</w:t>
      </w:r>
      <w:r w:rsidR="00043193" w:rsidRPr="00E4462A">
        <w:rPr>
          <w:rFonts w:hint="eastAsia"/>
          <w:lang w:val="en-GB"/>
        </w:rPr>
        <w:t xml:space="preserve"> cryogenic probe</w:t>
      </w:r>
      <w:r w:rsidR="00043193" w:rsidRPr="00E4462A">
        <w:rPr>
          <w:lang w:val="en-GB"/>
        </w:rPr>
        <w:t xml:space="preserve"> (90° excitation pulses: </w:t>
      </w:r>
      <w:r w:rsidR="00043193" w:rsidRPr="00E4462A">
        <w:rPr>
          <w:vertAlign w:val="superscript"/>
          <w:lang w:val="en-GB"/>
        </w:rPr>
        <w:t>13</w:t>
      </w:r>
      <w:r w:rsidR="00043193" w:rsidRPr="00E4462A">
        <w:rPr>
          <w:lang w:val="en-GB"/>
        </w:rPr>
        <w:t xml:space="preserve">C ~ </w:t>
      </w:r>
      <w:r w:rsidR="00043193" w:rsidRPr="00E4462A">
        <w:rPr>
          <w:vertAlign w:val="superscript"/>
          <w:lang w:val="en-GB"/>
        </w:rPr>
        <w:t>1</w:t>
      </w:r>
      <w:r w:rsidR="00043193" w:rsidRPr="00E4462A">
        <w:rPr>
          <w:lang w:val="en-GB"/>
        </w:rPr>
        <w:t>H ~ 10 µs) in sealed 2.5 mm Bruker MATCH tubes</w:t>
      </w:r>
      <w:r w:rsidR="005E0D21" w:rsidRPr="00E4462A">
        <w:rPr>
          <w:lang w:val="en-GB"/>
        </w:rPr>
        <w:t xml:space="preserve">. </w:t>
      </w:r>
      <w:r w:rsidR="005E0D21" w:rsidRPr="00E4462A">
        <w:rPr>
          <w:vertAlign w:val="superscript"/>
          <w:lang w:val="en-GB"/>
        </w:rPr>
        <w:t>1</w:t>
      </w:r>
      <w:r w:rsidR="005E0D21" w:rsidRPr="00E4462A">
        <w:rPr>
          <w:lang w:val="en-GB"/>
        </w:rPr>
        <w:t>H</w:t>
      </w:r>
      <w:r w:rsidR="005E0D21" w:rsidRPr="00E4462A">
        <w:rPr>
          <w:b/>
          <w:lang w:val="en-GB"/>
        </w:rPr>
        <w:t xml:space="preserve"> </w:t>
      </w:r>
      <w:r w:rsidR="005E0D21" w:rsidRPr="00E4462A">
        <w:rPr>
          <w:lang w:val="en-GB"/>
        </w:rPr>
        <w:t>NMR spectral information is shown in Table 2 and Figures 2, S1 and S2</w:t>
      </w:r>
      <w:r w:rsidR="00043193" w:rsidRPr="00E4462A">
        <w:rPr>
          <w:rFonts w:hint="eastAsia"/>
          <w:lang w:val="en-GB"/>
        </w:rPr>
        <w:t>.</w:t>
      </w:r>
      <w:r w:rsidR="00043193" w:rsidRPr="00E4462A">
        <w:rPr>
          <w:lang w:val="en-GB"/>
        </w:rPr>
        <w:t xml:space="preserve"> </w:t>
      </w:r>
      <w:r w:rsidR="0002238E" w:rsidRPr="00E4462A">
        <w:rPr>
          <w:vertAlign w:val="superscript"/>
          <w:lang w:val="en-GB"/>
        </w:rPr>
        <w:t>13</w:t>
      </w:r>
      <w:r w:rsidR="0002238E" w:rsidRPr="00E4462A">
        <w:rPr>
          <w:lang w:val="en-GB"/>
        </w:rPr>
        <w:t xml:space="preserve">C NMR spectra were acquired with a </w:t>
      </w:r>
      <w:r w:rsidR="0002238E" w:rsidRPr="00E4462A">
        <w:rPr>
          <w:rFonts w:hint="eastAsia"/>
          <w:lang w:val="en-GB"/>
        </w:rPr>
        <w:t xml:space="preserve">Bruker </w:t>
      </w:r>
      <w:r w:rsidR="0002238E" w:rsidRPr="00E4462A">
        <w:rPr>
          <w:lang w:val="en-GB"/>
        </w:rPr>
        <w:t>Avance NMR spectrometer at 500.13</w:t>
      </w:r>
      <w:r w:rsidR="00067843" w:rsidRPr="00E4462A">
        <w:rPr>
          <w:lang w:val="en-GB"/>
        </w:rPr>
        <w:t xml:space="preserve"> / 800.13</w:t>
      </w:r>
      <w:r w:rsidR="0002238E" w:rsidRPr="00E4462A">
        <w:rPr>
          <w:lang w:val="en-GB"/>
        </w:rPr>
        <w:t xml:space="preserve"> MHz (B</w:t>
      </w:r>
      <w:r w:rsidR="0002238E" w:rsidRPr="00E4462A">
        <w:rPr>
          <w:vertAlign w:val="subscript"/>
          <w:lang w:val="en-GB"/>
        </w:rPr>
        <w:t>0</w:t>
      </w:r>
      <w:r w:rsidR="0002238E" w:rsidRPr="00E4462A">
        <w:rPr>
          <w:lang w:val="en-GB"/>
        </w:rPr>
        <w:t xml:space="preserve"> = 11.7</w:t>
      </w:r>
      <w:r w:rsidR="00067843" w:rsidRPr="00E4462A">
        <w:rPr>
          <w:lang w:val="en-GB"/>
        </w:rPr>
        <w:t xml:space="preserve"> / 18.7</w:t>
      </w:r>
      <w:r w:rsidR="0002238E" w:rsidRPr="00E4462A">
        <w:rPr>
          <w:lang w:val="en-GB"/>
        </w:rPr>
        <w:t xml:space="preserve"> T) at 283 K from a few mg of solid obtained by evaporation of original methanol-h</w:t>
      </w:r>
      <w:r w:rsidR="0002238E" w:rsidRPr="00E4462A">
        <w:rPr>
          <w:vertAlign w:val="subscript"/>
          <w:lang w:val="en-GB"/>
        </w:rPr>
        <w:t>4</w:t>
      </w:r>
      <w:r w:rsidR="0002238E" w:rsidRPr="00E4462A">
        <w:rPr>
          <w:lang w:val="en-GB"/>
        </w:rPr>
        <w:t xml:space="preserve"> solution (1</w:t>
      </w:r>
      <w:r w:rsidR="0002238E" w:rsidRPr="00E4462A">
        <w:rPr>
          <w:rFonts w:hint="eastAsia"/>
          <w:lang w:val="en-GB"/>
        </w:rPr>
        <w:t xml:space="preserve"> s acquisition time</w:t>
      </w:r>
      <w:r w:rsidR="0002238E" w:rsidRPr="00E4462A">
        <w:rPr>
          <w:lang w:val="en-GB"/>
        </w:rPr>
        <w:t>,</w:t>
      </w:r>
      <w:r w:rsidR="0002238E" w:rsidRPr="00E4462A">
        <w:rPr>
          <w:rFonts w:hint="eastAsia"/>
          <w:lang w:val="en-GB"/>
        </w:rPr>
        <w:t xml:space="preserve"> </w:t>
      </w:r>
      <w:r w:rsidR="0002238E" w:rsidRPr="00E4462A">
        <w:rPr>
          <w:lang w:val="en-GB"/>
        </w:rPr>
        <w:t>14</w:t>
      </w:r>
      <w:r w:rsidR="00067843" w:rsidRPr="00E4462A">
        <w:rPr>
          <w:lang w:val="en-GB"/>
        </w:rPr>
        <w:t xml:space="preserve"> or 19 </w:t>
      </w:r>
      <w:r w:rsidR="0002238E" w:rsidRPr="00E4462A">
        <w:rPr>
          <w:rFonts w:hint="eastAsia"/>
          <w:lang w:val="en-GB"/>
        </w:rPr>
        <w:t>s relaxation delay</w:t>
      </w:r>
      <w:r w:rsidR="00067843" w:rsidRPr="00E4462A">
        <w:rPr>
          <w:lang w:val="en-GB"/>
        </w:rPr>
        <w:t xml:space="preserve">; Table </w:t>
      </w:r>
      <w:r w:rsidR="005E0D21" w:rsidRPr="00E4462A">
        <w:rPr>
          <w:lang w:val="en-GB"/>
        </w:rPr>
        <w:t>S1; Fig. S3</w:t>
      </w:r>
      <w:r w:rsidR="0002238E" w:rsidRPr="00E4462A">
        <w:rPr>
          <w:lang w:val="en-GB"/>
        </w:rPr>
        <w:t>).</w:t>
      </w:r>
      <w:r w:rsidR="0002238E" w:rsidRPr="00E4462A">
        <w:rPr>
          <w:rFonts w:hint="eastAsia"/>
          <w:lang w:val="en-GB"/>
        </w:rPr>
        <w:t xml:space="preserve"> </w:t>
      </w:r>
      <w:r w:rsidR="00043193" w:rsidRPr="00E4462A">
        <w:rPr>
          <w:lang w:val="en-GB"/>
        </w:rPr>
        <w:t xml:space="preserve">1D </w:t>
      </w:r>
      <w:r w:rsidR="00043193" w:rsidRPr="00E4462A">
        <w:rPr>
          <w:vertAlign w:val="superscript"/>
          <w:lang w:val="en-GB"/>
        </w:rPr>
        <w:t>1</w:t>
      </w:r>
      <w:r w:rsidR="00043193" w:rsidRPr="00E4462A">
        <w:rPr>
          <w:lang w:val="en-GB"/>
        </w:rPr>
        <w:t xml:space="preserve">H NMR </w:t>
      </w:r>
      <w:r w:rsidR="00043193" w:rsidRPr="00E4462A">
        <w:rPr>
          <w:lang w:val="en-GB" w:eastAsia="zh-CN"/>
        </w:rPr>
        <w:t xml:space="preserve">spectra </w:t>
      </w:r>
      <w:r w:rsidR="00043193" w:rsidRPr="00E4462A">
        <w:rPr>
          <w:lang w:val="en-GB"/>
        </w:rPr>
        <w:t xml:space="preserve">were recorded with a spin-echo sequence (10 µs delay) to allow for high-Q probe ringdown, and classical presaturation to </w:t>
      </w:r>
      <w:r w:rsidR="00043193" w:rsidRPr="00E4462A">
        <w:rPr>
          <w:lang w:val="en-GB"/>
        </w:rPr>
        <w:lastRenderedPageBreak/>
        <w:t>attenuate residual water present “</w:t>
      </w:r>
      <w:r w:rsidR="0002238E" w:rsidRPr="00E4462A">
        <w:rPr>
          <w:i/>
          <w:lang w:val="en-GB"/>
        </w:rPr>
        <w:t>noesypr1d”</w:t>
      </w:r>
      <w:r w:rsidR="00043193" w:rsidRPr="00E4462A">
        <w:rPr>
          <w:lang w:val="en-GB"/>
        </w:rPr>
        <w:t xml:space="preserve">, typically </w:t>
      </w:r>
      <w:r w:rsidR="00067843" w:rsidRPr="00E4462A">
        <w:rPr>
          <w:lang w:val="en-GB"/>
        </w:rPr>
        <w:t>512-2048</w:t>
      </w:r>
      <w:r w:rsidR="00043193" w:rsidRPr="00E4462A">
        <w:rPr>
          <w:lang w:val="en-GB"/>
        </w:rPr>
        <w:t xml:space="preserve"> scans (5</w:t>
      </w:r>
      <w:r w:rsidR="00043193" w:rsidRPr="00E4462A">
        <w:rPr>
          <w:rFonts w:hint="eastAsia"/>
          <w:lang w:val="en-GB"/>
        </w:rPr>
        <w:t xml:space="preserve"> s acquisition time</w:t>
      </w:r>
      <w:r w:rsidR="00043193" w:rsidRPr="00E4462A">
        <w:rPr>
          <w:lang w:val="en-GB"/>
        </w:rPr>
        <w:t>,</w:t>
      </w:r>
      <w:r w:rsidR="00043193" w:rsidRPr="00E4462A">
        <w:rPr>
          <w:rFonts w:hint="eastAsia"/>
          <w:lang w:val="en-GB"/>
        </w:rPr>
        <w:t xml:space="preserve"> 5 s relaxation delay</w:t>
      </w:r>
      <w:r w:rsidR="00043193" w:rsidRPr="00E4462A">
        <w:rPr>
          <w:lang w:val="en-GB"/>
        </w:rPr>
        <w:t>,</w:t>
      </w:r>
      <w:r w:rsidR="00043193" w:rsidRPr="00E4462A">
        <w:rPr>
          <w:rFonts w:hint="eastAsia"/>
          <w:lang w:val="en-GB"/>
        </w:rPr>
        <w:t xml:space="preserve"> </w:t>
      </w:r>
      <w:r w:rsidR="0002238E" w:rsidRPr="00E4462A">
        <w:rPr>
          <w:lang w:val="en-GB"/>
        </w:rPr>
        <w:t xml:space="preserve">1 ms mixing time; </w:t>
      </w:r>
      <w:r w:rsidR="00043193" w:rsidRPr="00E4462A">
        <w:rPr>
          <w:rFonts w:hint="eastAsia"/>
          <w:lang w:val="en-GB"/>
        </w:rPr>
        <w:t xml:space="preserve">1 Hz exponential line broadening). </w:t>
      </w:r>
      <w:r w:rsidR="00043193" w:rsidRPr="00E4462A">
        <w:rPr>
          <w:lang w:val="en-GB"/>
        </w:rPr>
        <w:t xml:space="preserve">A phase sensitive, gradient enhanced </w:t>
      </w:r>
      <w:r w:rsidR="00067843" w:rsidRPr="00E4462A">
        <w:rPr>
          <w:lang w:val="en-GB"/>
        </w:rPr>
        <w:t>TOCSY</w:t>
      </w:r>
      <w:r w:rsidR="00043193" w:rsidRPr="00E4462A">
        <w:rPr>
          <w:lang w:val="en-GB"/>
        </w:rPr>
        <w:t xml:space="preserve"> NMR spectrum</w:t>
      </w:r>
      <w:r w:rsidR="00067843" w:rsidRPr="00E4462A">
        <w:rPr>
          <w:lang w:val="en-GB"/>
        </w:rPr>
        <w:t xml:space="preserve"> </w:t>
      </w:r>
      <w:r w:rsidR="00043193" w:rsidRPr="00E4462A">
        <w:rPr>
          <w:lang w:val="en-GB"/>
        </w:rPr>
        <w:t>with solvent suppression (</w:t>
      </w:r>
      <w:r w:rsidR="00067843" w:rsidRPr="00E4462A">
        <w:rPr>
          <w:i/>
          <w:lang w:val="en-GB"/>
        </w:rPr>
        <w:t>dipsi2etgpsi</w:t>
      </w:r>
      <w:r w:rsidR="00043193" w:rsidRPr="00E4462A">
        <w:rPr>
          <w:i/>
          <w:lang w:val="en-GB"/>
        </w:rPr>
        <w:t>19</w:t>
      </w:r>
      <w:r w:rsidR="00043193" w:rsidRPr="00E4462A">
        <w:rPr>
          <w:lang w:val="en-GB"/>
        </w:rPr>
        <w:t xml:space="preserve">) was acquired </w:t>
      </w:r>
      <w:r w:rsidR="00455703" w:rsidRPr="00E4462A">
        <w:rPr>
          <w:lang w:val="en-GB"/>
        </w:rPr>
        <w:t xml:space="preserve">for </w:t>
      </w:r>
      <w:r w:rsidR="00043193" w:rsidRPr="00E4462A">
        <w:rPr>
          <w:lang w:val="en-GB"/>
        </w:rPr>
        <w:t xml:space="preserve">an </w:t>
      </w:r>
      <w:r w:rsidR="00043193" w:rsidRPr="00E4462A">
        <w:rPr>
          <w:rFonts w:eastAsia="AdvEPSTIM"/>
          <w:lang w:val="en-GB"/>
        </w:rPr>
        <w:t>acquisition time of 1 s</w:t>
      </w:r>
      <w:r w:rsidR="00067843" w:rsidRPr="00E4462A">
        <w:rPr>
          <w:rFonts w:eastAsia="AdvEPSTIM"/>
          <w:lang w:val="en-GB"/>
        </w:rPr>
        <w:t>, a mixing time of 70 ms, and</w:t>
      </w:r>
      <w:r w:rsidR="00043193" w:rsidRPr="00E4462A">
        <w:rPr>
          <w:rFonts w:eastAsia="AdvEPSTIM"/>
          <w:lang w:val="en-GB"/>
        </w:rPr>
        <w:t xml:space="preserve"> a relaxation delay of </w:t>
      </w:r>
      <w:r w:rsidR="00067843" w:rsidRPr="00E4462A">
        <w:rPr>
          <w:rFonts w:eastAsia="AdvEPSTIM"/>
          <w:lang w:val="en-GB"/>
        </w:rPr>
        <w:t>3</w:t>
      </w:r>
      <w:r w:rsidR="00043193" w:rsidRPr="00E4462A">
        <w:rPr>
          <w:rFonts w:eastAsia="AdvEPSTIM"/>
          <w:lang w:val="en-GB"/>
        </w:rPr>
        <w:t xml:space="preserve"> s</w:t>
      </w:r>
      <w:r w:rsidR="00675873" w:rsidRPr="00E4462A">
        <w:rPr>
          <w:rFonts w:eastAsia="AdvEPSTIM"/>
          <w:lang w:val="en-GB"/>
        </w:rPr>
        <w:t xml:space="preserve">. </w:t>
      </w:r>
      <w:r w:rsidR="00043193" w:rsidRPr="00E4462A">
        <w:rPr>
          <w:lang w:val="en-GB"/>
        </w:rPr>
        <w:t xml:space="preserve">The one bond coupling constant </w:t>
      </w:r>
      <w:r w:rsidR="00043193" w:rsidRPr="00E4462A">
        <w:rPr>
          <w:vertAlign w:val="superscript"/>
          <w:lang w:val="en-GB"/>
        </w:rPr>
        <w:t>1</w:t>
      </w:r>
      <w:r w:rsidR="00043193" w:rsidRPr="00E4462A">
        <w:rPr>
          <w:rFonts w:eastAsia="AdvEPSTIM-I"/>
          <w:lang w:val="en-GB"/>
        </w:rPr>
        <w:t>J</w:t>
      </w:r>
      <w:r w:rsidR="00043193" w:rsidRPr="00E4462A">
        <w:rPr>
          <w:lang w:val="en-GB"/>
        </w:rPr>
        <w:t xml:space="preserve">(CH) used in 2D </w:t>
      </w:r>
      <w:r w:rsidR="00043193" w:rsidRPr="00E4462A">
        <w:rPr>
          <w:vertAlign w:val="superscript"/>
          <w:lang w:val="en-GB"/>
        </w:rPr>
        <w:t>1</w:t>
      </w:r>
      <w:r w:rsidR="00043193" w:rsidRPr="00E4462A">
        <w:rPr>
          <w:lang w:val="en-GB"/>
        </w:rPr>
        <w:t>H,</w:t>
      </w:r>
      <w:r w:rsidR="00043193" w:rsidRPr="00E4462A">
        <w:rPr>
          <w:vertAlign w:val="superscript"/>
          <w:lang w:val="en-GB"/>
        </w:rPr>
        <w:t>13</w:t>
      </w:r>
      <w:r w:rsidR="00043193" w:rsidRPr="00E4462A">
        <w:rPr>
          <w:lang w:val="en-GB"/>
        </w:rPr>
        <w:t>C DEPT-HSQC spectra (</w:t>
      </w:r>
      <w:r w:rsidR="00043193" w:rsidRPr="00E4462A">
        <w:rPr>
          <w:i/>
          <w:lang w:val="en-GB"/>
        </w:rPr>
        <w:t>hsqcedetgpsisp2.2</w:t>
      </w:r>
      <w:r w:rsidR="00043193" w:rsidRPr="00E4462A">
        <w:rPr>
          <w:lang w:val="en-GB"/>
        </w:rPr>
        <w:t xml:space="preserve">) was set to 145 Hz; other conditions: </w:t>
      </w:r>
      <w:r w:rsidR="00043193" w:rsidRPr="00E4462A">
        <w:rPr>
          <w:vertAlign w:val="superscript"/>
          <w:lang w:val="en-GB"/>
        </w:rPr>
        <w:t>13</w:t>
      </w:r>
      <w:r w:rsidR="00043193" w:rsidRPr="00E4462A">
        <w:rPr>
          <w:lang w:val="en-GB"/>
        </w:rPr>
        <w:t>C</w:t>
      </w:r>
      <w:r w:rsidR="00043193" w:rsidRPr="00E4462A">
        <w:rPr>
          <w:lang w:val="en-GB" w:eastAsia="zh-CN"/>
        </w:rPr>
        <w:t xml:space="preserve"> </w:t>
      </w:r>
      <w:r w:rsidR="00043193" w:rsidRPr="00E4462A">
        <w:rPr>
          <w:lang w:val="en-GB"/>
        </w:rPr>
        <w:t>90</w:t>
      </w:r>
      <w:r w:rsidR="00043193" w:rsidRPr="00E4462A">
        <w:rPr>
          <w:lang w:val="en-GB" w:eastAsia="zh-CN"/>
        </w:rPr>
        <w:t xml:space="preserve"> </w:t>
      </w:r>
      <w:r w:rsidR="00043193" w:rsidRPr="00E4462A">
        <w:rPr>
          <w:lang w:val="en-GB"/>
        </w:rPr>
        <w:t xml:space="preserve">deg decoupling pulse, GARP (70 µs); 50 kHz WURST 180 degree </w:t>
      </w:r>
      <w:r w:rsidR="00043193" w:rsidRPr="00E4462A">
        <w:rPr>
          <w:vertAlign w:val="superscript"/>
          <w:lang w:val="en-GB"/>
        </w:rPr>
        <w:t>13</w:t>
      </w:r>
      <w:r w:rsidR="00043193" w:rsidRPr="00E4462A">
        <w:rPr>
          <w:lang w:val="en-GB"/>
        </w:rPr>
        <w:t>C inversion pulse (</w:t>
      </w:r>
      <w:r w:rsidR="00043193" w:rsidRPr="00E4462A">
        <w:rPr>
          <w:u w:val="single"/>
          <w:lang w:val="en-GB"/>
        </w:rPr>
        <w:t>W</w:t>
      </w:r>
      <w:r w:rsidR="00043193" w:rsidRPr="00E4462A">
        <w:rPr>
          <w:lang w:val="en-GB"/>
        </w:rPr>
        <w:t xml:space="preserve">ideband, </w:t>
      </w:r>
      <w:r w:rsidR="00043193" w:rsidRPr="00E4462A">
        <w:rPr>
          <w:u w:val="single"/>
          <w:lang w:val="en-GB"/>
        </w:rPr>
        <w:t>U</w:t>
      </w:r>
      <w:r w:rsidR="00043193" w:rsidRPr="00E4462A">
        <w:rPr>
          <w:lang w:val="en-GB"/>
        </w:rPr>
        <w:t xml:space="preserve">niform, </w:t>
      </w:r>
      <w:r w:rsidR="00043193" w:rsidRPr="00E4462A">
        <w:rPr>
          <w:u w:val="single"/>
          <w:lang w:val="en-GB"/>
        </w:rPr>
        <w:t>R</w:t>
      </w:r>
      <w:r w:rsidR="00043193" w:rsidRPr="00E4462A">
        <w:rPr>
          <w:lang w:val="en-GB"/>
        </w:rPr>
        <w:t xml:space="preserve">ate, and </w:t>
      </w:r>
      <w:r w:rsidR="00043193" w:rsidRPr="00E4462A">
        <w:rPr>
          <w:u w:val="single"/>
          <w:lang w:val="en-GB"/>
        </w:rPr>
        <w:t>S</w:t>
      </w:r>
      <w:r w:rsidR="00043193" w:rsidRPr="00E4462A">
        <w:rPr>
          <w:lang w:val="en-GB"/>
        </w:rPr>
        <w:t xml:space="preserve">mooth </w:t>
      </w:r>
      <w:r w:rsidR="00043193" w:rsidRPr="00E4462A">
        <w:rPr>
          <w:u w:val="single"/>
          <w:lang w:val="en-GB"/>
        </w:rPr>
        <w:t>T</w:t>
      </w:r>
      <w:r w:rsidR="00043193" w:rsidRPr="00E4462A">
        <w:rPr>
          <w:lang w:val="en-GB"/>
        </w:rPr>
        <w:t>runcation; 1.2 ms); F2 (</w:t>
      </w:r>
      <w:r w:rsidR="00043193" w:rsidRPr="00E4462A">
        <w:rPr>
          <w:vertAlign w:val="superscript"/>
          <w:lang w:val="en-GB"/>
        </w:rPr>
        <w:t>1</w:t>
      </w:r>
      <w:r w:rsidR="00043193" w:rsidRPr="00E4462A">
        <w:rPr>
          <w:lang w:val="en-GB"/>
        </w:rPr>
        <w:t>H): spectral width of 5981 Hz (11.96 ppm); 1.25 s relaxation delay; F1 (</w:t>
      </w:r>
      <w:r w:rsidR="00043193" w:rsidRPr="00E4462A">
        <w:rPr>
          <w:vertAlign w:val="superscript"/>
          <w:lang w:val="en-GB"/>
        </w:rPr>
        <w:t>13</w:t>
      </w:r>
      <w:r w:rsidR="00043193" w:rsidRPr="00E4462A">
        <w:rPr>
          <w:lang w:val="en-GB"/>
        </w:rPr>
        <w:t>C): SW = 17607 Hz (140 ppm). HSQC-derived NMR spectra were computed to a 4096 ×</w:t>
      </w:r>
      <w:r w:rsidR="00043193" w:rsidRPr="00E4462A">
        <w:rPr>
          <w:rFonts w:eastAsia="AdvPSSym"/>
          <w:lang w:val="en-GB"/>
        </w:rPr>
        <w:t xml:space="preserve"> 512</w:t>
      </w:r>
      <w:r w:rsidR="00043193" w:rsidRPr="00E4462A">
        <w:rPr>
          <w:lang w:val="en-GB"/>
        </w:rPr>
        <w:t xml:space="preserve"> matrix. Gradient (1 ms length, 450 µs recovery) and sensitivity</w:t>
      </w:r>
      <w:r w:rsidR="00043193" w:rsidRPr="00E4462A">
        <w:rPr>
          <w:lang w:val="en-GB" w:eastAsia="zh-CN"/>
        </w:rPr>
        <w:t xml:space="preserve"> </w:t>
      </w:r>
      <w:r w:rsidR="00043193" w:rsidRPr="00E4462A">
        <w:rPr>
          <w:lang w:val="en-GB"/>
        </w:rPr>
        <w:t xml:space="preserve">enhanced sequences were used for </w:t>
      </w:r>
      <w:r w:rsidR="00675873" w:rsidRPr="00E4462A">
        <w:rPr>
          <w:lang w:val="en-GB"/>
        </w:rPr>
        <w:t xml:space="preserve">all 2D </w:t>
      </w:r>
      <w:r w:rsidR="00043193" w:rsidRPr="00E4462A">
        <w:rPr>
          <w:lang w:val="en-GB"/>
        </w:rPr>
        <w:t xml:space="preserve">NMR spectra. Absolute value JRES/COSY and phase sensitive echo-antiecho TOCSY spectra (with solvent suppression: </w:t>
      </w:r>
      <w:r w:rsidR="00043193" w:rsidRPr="00E4462A">
        <w:rPr>
          <w:i/>
          <w:lang w:val="en-GB"/>
        </w:rPr>
        <w:t>jresgpprqf</w:t>
      </w:r>
      <w:r w:rsidR="00043193" w:rsidRPr="00E4462A">
        <w:rPr>
          <w:lang w:val="en-GB"/>
        </w:rPr>
        <w:t xml:space="preserve">, </w:t>
      </w:r>
      <w:r w:rsidR="00043193" w:rsidRPr="00E4462A">
        <w:rPr>
          <w:i/>
          <w:lang w:val="en-GB"/>
        </w:rPr>
        <w:t>cosygpph19, dipsi2etgpsi19</w:t>
      </w:r>
      <w:r w:rsidR="00043193" w:rsidRPr="00E4462A">
        <w:rPr>
          <w:lang w:val="en-GB"/>
        </w:rPr>
        <w:t xml:space="preserve">) used a spectral width of </w:t>
      </w:r>
      <w:r w:rsidR="00675873" w:rsidRPr="00E4462A">
        <w:rPr>
          <w:lang w:val="en-GB"/>
        </w:rPr>
        <w:t>9615.4</w:t>
      </w:r>
      <w:r w:rsidR="00043193" w:rsidRPr="00E4462A">
        <w:rPr>
          <w:lang w:val="en-GB"/>
        </w:rPr>
        <w:t xml:space="preserve"> Hz [JRES (F1) = 50 Hz] and were computed to a </w:t>
      </w:r>
      <w:r w:rsidR="00675873" w:rsidRPr="00E4462A">
        <w:rPr>
          <w:lang w:val="en-GB"/>
        </w:rPr>
        <w:t>16384</w:t>
      </w:r>
      <w:r w:rsidR="00043193" w:rsidRPr="00E4462A">
        <w:rPr>
          <w:lang w:val="en-GB"/>
        </w:rPr>
        <w:t xml:space="preserve"> ×</w:t>
      </w:r>
      <w:r w:rsidR="00043193" w:rsidRPr="00E4462A">
        <w:rPr>
          <w:rFonts w:eastAsia="AdvPSSym"/>
          <w:lang w:val="en-GB"/>
        </w:rPr>
        <w:t xml:space="preserve"> </w:t>
      </w:r>
      <w:r w:rsidR="00043193" w:rsidRPr="00E4462A">
        <w:rPr>
          <w:lang w:val="en-GB"/>
        </w:rPr>
        <w:t xml:space="preserve">2048 matrix [JRES (F1) = 128]. </w:t>
      </w:r>
      <w:r w:rsidR="006A10F5" w:rsidRPr="00E4462A">
        <w:rPr>
          <w:lang w:val="en-GB"/>
        </w:rPr>
        <w:t xml:space="preserve">Similarity of </w:t>
      </w:r>
      <w:r w:rsidR="006A10F5" w:rsidRPr="00E4462A">
        <w:rPr>
          <w:vertAlign w:val="superscript"/>
          <w:lang w:val="en-GB"/>
        </w:rPr>
        <w:t>1</w:t>
      </w:r>
      <w:r w:rsidR="006A10F5" w:rsidRPr="00E4462A">
        <w:rPr>
          <w:lang w:val="en-GB"/>
        </w:rPr>
        <w:t xml:space="preserve">H NMR spectra was computed from 0.01 ppm section integrals in the range </w:t>
      </w:r>
      <w:r w:rsidR="006A10F5" w:rsidRPr="00E4462A">
        <w:rPr>
          <w:rFonts w:ascii="Symbol" w:hAnsi="Symbol"/>
          <w:lang w:val="en-GB"/>
        </w:rPr>
        <w:t></w:t>
      </w:r>
      <w:r w:rsidR="006A10F5" w:rsidRPr="00E4462A">
        <w:rPr>
          <w:vertAlign w:val="subscript"/>
          <w:lang w:val="en-GB"/>
        </w:rPr>
        <w:t>H</w:t>
      </w:r>
      <w:r w:rsidR="006A10F5" w:rsidRPr="00E4462A">
        <w:rPr>
          <w:lang w:val="en-GB"/>
        </w:rPr>
        <w:t xml:space="preserve"> = 0.5 – 9.5 ppm, with exclusion of methanol and residual water (Bruker AMIX software, version 3.9.4.) with Hierarchical Cluster Explorer (HCE); similarity versus distance metrics used Pearson correlation coefficients; minimum similarity values are provided in Fig. S2A. </w:t>
      </w:r>
      <w:r w:rsidR="00043193" w:rsidRPr="00E4462A">
        <w:rPr>
          <w:lang w:val="en-GB"/>
        </w:rPr>
        <w:t>Other NMR acquisition conditions are given in Tab.</w:t>
      </w:r>
      <w:r w:rsidR="00675873" w:rsidRPr="00E4462A">
        <w:rPr>
          <w:lang w:val="en-GB"/>
        </w:rPr>
        <w:t xml:space="preserve"> </w:t>
      </w:r>
      <w:r w:rsidR="005E0D21" w:rsidRPr="00E4462A">
        <w:rPr>
          <w:lang w:val="en-GB"/>
        </w:rPr>
        <w:t>S2</w:t>
      </w:r>
      <w:r w:rsidR="00675873" w:rsidRPr="00E4462A">
        <w:rPr>
          <w:lang w:val="en-GB"/>
        </w:rPr>
        <w:t>.</w:t>
      </w:r>
    </w:p>
    <w:p w14:paraId="14C5C368" w14:textId="77777777" w:rsidR="00043193" w:rsidRPr="00E4462A" w:rsidRDefault="00043193" w:rsidP="008B22B1">
      <w:pPr>
        <w:spacing w:line="360" w:lineRule="auto"/>
        <w:jc w:val="both"/>
        <w:outlineLvl w:val="0"/>
        <w:rPr>
          <w:b/>
          <w:lang w:val="en-GB"/>
        </w:rPr>
      </w:pPr>
    </w:p>
    <w:p w14:paraId="01E62FFF" w14:textId="523E3D3C" w:rsidR="00043193" w:rsidRPr="00E4462A" w:rsidRDefault="00331408" w:rsidP="008B22B1">
      <w:pPr>
        <w:spacing w:line="360" w:lineRule="auto"/>
        <w:jc w:val="both"/>
        <w:outlineLvl w:val="0"/>
        <w:rPr>
          <w:b/>
          <w:lang w:val="en-GB"/>
        </w:rPr>
      </w:pPr>
      <w:r w:rsidRPr="00E4462A">
        <w:rPr>
          <w:i/>
          <w:lang w:val="en-GB"/>
        </w:rPr>
        <w:t xml:space="preserve">2d) </w:t>
      </w:r>
      <w:r w:rsidR="00043193" w:rsidRPr="00E4462A">
        <w:rPr>
          <w:i/>
          <w:lang w:val="en-GB"/>
        </w:rPr>
        <w:t>FTICR mass spectrometry:</w:t>
      </w:r>
      <w:r w:rsidR="00043193" w:rsidRPr="00E4462A">
        <w:rPr>
          <w:b/>
          <w:lang w:val="en-GB"/>
        </w:rPr>
        <w:t xml:space="preserve"> </w:t>
      </w:r>
      <w:r w:rsidR="00043193" w:rsidRPr="00E4462A">
        <w:rPr>
          <w:lang w:val="en-GB"/>
        </w:rPr>
        <w:t>Ultrahigh-resolution Fourier transform ion cyclotron mass spectra</w:t>
      </w:r>
      <w:r w:rsidR="008B5FB1" w:rsidRPr="00E4462A">
        <w:rPr>
          <w:lang w:val="en-GB"/>
        </w:rPr>
        <w:t xml:space="preserve"> </w:t>
      </w:r>
      <w:r w:rsidR="00043193" w:rsidRPr="00E4462A">
        <w:rPr>
          <w:lang w:val="en-GB"/>
        </w:rPr>
        <w:t>were acquired using a 12 T Bruker Solarix mass spectrometer (Bruker Daltonics</w:t>
      </w:r>
      <w:r w:rsidR="0002238E" w:rsidRPr="00E4462A">
        <w:rPr>
          <w:lang w:val="en-GB"/>
        </w:rPr>
        <w:t>,</w:t>
      </w:r>
      <w:r w:rsidR="00043193" w:rsidRPr="00E4462A">
        <w:rPr>
          <w:lang w:val="en-GB"/>
        </w:rPr>
        <w:t xml:space="preserve"> Bremen</w:t>
      </w:r>
      <w:r w:rsidR="0002238E" w:rsidRPr="00E4462A">
        <w:rPr>
          <w:lang w:val="en-GB"/>
        </w:rPr>
        <w:t>,</w:t>
      </w:r>
      <w:r w:rsidR="00043193" w:rsidRPr="00E4462A">
        <w:rPr>
          <w:lang w:val="en-GB"/>
        </w:rPr>
        <w:t xml:space="preserve"> Germany) fitted with an electrospray ionization source in negative mode. Diluted SPE-DOM (5 µg/mL in methanol) were injected into the electrospray source using a micro-liter pump at a flow rate of 120 µL/h with a nebulizer gas pressure of 138 kPa and a drying gas pressure of 103 kPa. A source heater temperature of 200°C was maintained to ensure rapid desolvatation in the ionized droplets. Spectra were first externally calibrated on clusters of arginine in MeOH (0.57 µmol/L) and internal calibration was systematically done in the presence of natural organic matter reaching accuracy values lower than 500 ppb. The spectra were acquired with a time domain of 4 megawords and 1000 scans were accumulated for each spectrum. Calculation of elemental formulas for each peak was done in a batch mode by an in-house written software tool. The generated formulae were validated by setting sensible chemical constraints [N rule</w:t>
      </w:r>
      <w:r w:rsidR="00D72B41" w:rsidRPr="00E4462A">
        <w:rPr>
          <w:lang w:val="en-GB"/>
        </w:rPr>
        <w:t xml:space="preserve">, </w:t>
      </w:r>
      <w:r w:rsidR="00043193" w:rsidRPr="00E4462A">
        <w:rPr>
          <w:lang w:val="en-GB"/>
        </w:rPr>
        <w:t xml:space="preserve">O/C </w:t>
      </w:r>
      <w:r w:rsidR="00043193" w:rsidRPr="00E4462A">
        <w:rPr>
          <w:lang w:val="en-GB"/>
        </w:rPr>
        <w:lastRenderedPageBreak/>
        <w:t>ratio ≤ 1</w:t>
      </w:r>
      <w:r w:rsidR="00D72B41" w:rsidRPr="00E4462A">
        <w:rPr>
          <w:lang w:val="en-GB"/>
        </w:rPr>
        <w:t xml:space="preserve">, </w:t>
      </w:r>
      <w:r w:rsidR="00043193" w:rsidRPr="00E4462A">
        <w:rPr>
          <w:lang w:val="en-GB"/>
        </w:rPr>
        <w:t>H/C ratio ≤ 2n + 2 (C</w:t>
      </w:r>
      <w:r w:rsidR="00043193" w:rsidRPr="00E4462A">
        <w:rPr>
          <w:vertAlign w:val="subscript"/>
          <w:lang w:val="en-GB"/>
        </w:rPr>
        <w:t>n</w:t>
      </w:r>
      <w:r w:rsidR="00043193" w:rsidRPr="00E4462A">
        <w:rPr>
          <w:lang w:val="en-GB"/>
        </w:rPr>
        <w:t>H</w:t>
      </w:r>
      <w:r w:rsidR="00043193" w:rsidRPr="00E4462A">
        <w:rPr>
          <w:vertAlign w:val="subscript"/>
          <w:lang w:val="en-GB"/>
        </w:rPr>
        <w:t>2n+2</w:t>
      </w:r>
      <w:r w:rsidR="0059577E" w:rsidRPr="00E4462A">
        <w:rPr>
          <w:lang w:val="en-GB"/>
        </w:rPr>
        <w:t>). E</w:t>
      </w:r>
      <w:r w:rsidR="00043193" w:rsidRPr="00E4462A">
        <w:rPr>
          <w:lang w:val="en-GB"/>
        </w:rPr>
        <w:t>lement counts: C ≤ 100</w:t>
      </w:r>
      <w:r w:rsidR="00EA3CBC" w:rsidRPr="00E4462A">
        <w:rPr>
          <w:lang w:val="en-GB"/>
        </w:rPr>
        <w:t>,</w:t>
      </w:r>
      <w:r w:rsidR="00043193" w:rsidRPr="00E4462A">
        <w:rPr>
          <w:lang w:val="en-GB"/>
        </w:rPr>
        <w:t xml:space="preserve"> H ≤ 200</w:t>
      </w:r>
      <w:r w:rsidR="00EA3CBC" w:rsidRPr="00E4462A">
        <w:rPr>
          <w:lang w:val="en-GB"/>
        </w:rPr>
        <w:t>,</w:t>
      </w:r>
      <w:r w:rsidR="00043193" w:rsidRPr="00E4462A">
        <w:rPr>
          <w:lang w:val="en-GB"/>
        </w:rPr>
        <w:t xml:space="preserve"> O ≤ 80</w:t>
      </w:r>
      <w:r w:rsidR="00EA3CBC" w:rsidRPr="00E4462A">
        <w:rPr>
          <w:lang w:val="en-GB"/>
        </w:rPr>
        <w:t>,</w:t>
      </w:r>
      <w:r w:rsidR="00043193" w:rsidRPr="00E4462A">
        <w:rPr>
          <w:lang w:val="en-GB"/>
        </w:rPr>
        <w:t xml:space="preserve"> N ≤ 3</w:t>
      </w:r>
      <w:r w:rsidR="00D72B41" w:rsidRPr="00E4462A">
        <w:rPr>
          <w:lang w:val="en-GB"/>
        </w:rPr>
        <w:t xml:space="preserve">, </w:t>
      </w:r>
      <w:r w:rsidR="00043193" w:rsidRPr="00E4462A">
        <w:rPr>
          <w:lang w:val="en-GB"/>
        </w:rPr>
        <w:t>S ≤ 2</w:t>
      </w:r>
      <w:r w:rsidR="00EA3CBC" w:rsidRPr="00E4462A">
        <w:rPr>
          <w:lang w:val="en-GB"/>
        </w:rPr>
        <w:t>,</w:t>
      </w:r>
      <w:r w:rsidR="00043193" w:rsidRPr="00E4462A">
        <w:rPr>
          <w:lang w:val="en-GB"/>
        </w:rPr>
        <w:t xml:space="preserve"> P ≤ 1 and mass accuracy window (set at ± 0.5 ppm)]. Final formulae were generated and categor</w:t>
      </w:r>
      <w:r w:rsidR="00986B47" w:rsidRPr="00E4462A">
        <w:rPr>
          <w:lang w:val="en-GB"/>
        </w:rPr>
        <w:t>ized into groups containing CHO, CHNO,</w:t>
      </w:r>
      <w:r w:rsidR="00043193" w:rsidRPr="00E4462A">
        <w:rPr>
          <w:lang w:val="en-GB"/>
        </w:rPr>
        <w:t xml:space="preserve"> CHOS or CHNOS molecular compositions which were used to reconstruct the group-selective mass spectra (Schmitt-Kopplin et al., 2010). The computed average values for H</w:t>
      </w:r>
      <w:r w:rsidR="008B5FB1" w:rsidRPr="00E4462A">
        <w:rPr>
          <w:lang w:val="en-GB"/>
        </w:rPr>
        <w:t>,</w:t>
      </w:r>
      <w:r w:rsidR="00043193" w:rsidRPr="00E4462A">
        <w:rPr>
          <w:lang w:val="en-GB"/>
        </w:rPr>
        <w:t xml:space="preserve"> C</w:t>
      </w:r>
      <w:r w:rsidR="008B5FB1" w:rsidRPr="00E4462A">
        <w:rPr>
          <w:lang w:val="en-GB"/>
        </w:rPr>
        <w:t>,</w:t>
      </w:r>
      <w:r w:rsidR="00043193" w:rsidRPr="00E4462A">
        <w:rPr>
          <w:lang w:val="en-GB"/>
        </w:rPr>
        <w:t xml:space="preserve"> N</w:t>
      </w:r>
      <w:r w:rsidR="008B5FB1" w:rsidRPr="00E4462A">
        <w:rPr>
          <w:lang w:val="en-GB"/>
        </w:rPr>
        <w:t>,</w:t>
      </w:r>
      <w:r w:rsidR="00043193" w:rsidRPr="00E4462A">
        <w:rPr>
          <w:lang w:val="en-GB"/>
        </w:rPr>
        <w:t xml:space="preserve"> O and S (atom %) and the H/C and O/C ratios were based upon intensity-weighted averages of mass peaks with assigned molecular formulae</w:t>
      </w:r>
      <w:r w:rsidR="00D72B41" w:rsidRPr="00E4462A">
        <w:rPr>
          <w:lang w:val="en-GB"/>
        </w:rPr>
        <w:t>, which comprised ~50% of observed mass peaks</w:t>
      </w:r>
      <w:r w:rsidR="00043193" w:rsidRPr="00E4462A">
        <w:rPr>
          <w:lang w:val="en-GB"/>
        </w:rPr>
        <w:t>.</w:t>
      </w:r>
      <w:r w:rsidR="005E0D21" w:rsidRPr="00E4462A">
        <w:rPr>
          <w:lang w:val="en-GB"/>
        </w:rPr>
        <w:t xml:space="preserve"> FTICR mass spectrometry data are summarized in Table 3.</w:t>
      </w:r>
    </w:p>
    <w:p w14:paraId="76CBFA7D" w14:textId="77777777" w:rsidR="00043193" w:rsidRPr="00E4462A" w:rsidRDefault="00043193" w:rsidP="008B22B1">
      <w:pPr>
        <w:spacing w:line="360" w:lineRule="auto"/>
        <w:jc w:val="both"/>
        <w:rPr>
          <w:rFonts w:cs="Arial"/>
          <w:lang w:val="en-GB"/>
        </w:rPr>
      </w:pPr>
    </w:p>
    <w:p w14:paraId="0A5577BD" w14:textId="77777777" w:rsidR="004D757B" w:rsidRPr="00E4462A" w:rsidRDefault="004D757B" w:rsidP="00331408">
      <w:pPr>
        <w:pStyle w:val="ListParagraph"/>
        <w:numPr>
          <w:ilvl w:val="0"/>
          <w:numId w:val="15"/>
        </w:numPr>
        <w:spacing w:line="360" w:lineRule="auto"/>
        <w:jc w:val="both"/>
        <w:rPr>
          <w:rFonts w:cs="Arial"/>
          <w:b/>
          <w:lang w:val="en-GB"/>
        </w:rPr>
      </w:pPr>
      <w:r w:rsidRPr="00E4462A">
        <w:rPr>
          <w:rFonts w:cs="Arial"/>
          <w:b/>
          <w:lang w:val="en-GB"/>
        </w:rPr>
        <w:t>Results and Discussion</w:t>
      </w:r>
      <w:r w:rsidR="001D597E" w:rsidRPr="00E4462A">
        <w:rPr>
          <w:rFonts w:cs="Arial"/>
          <w:b/>
          <w:lang w:val="en-GB"/>
        </w:rPr>
        <w:t>:</w:t>
      </w:r>
      <w:r w:rsidR="00714C16" w:rsidRPr="00E4462A">
        <w:rPr>
          <w:rFonts w:cs="Arial"/>
          <w:b/>
          <w:lang w:val="en-GB"/>
        </w:rPr>
        <w:t xml:space="preserve"> </w:t>
      </w:r>
    </w:p>
    <w:p w14:paraId="0BDF4E7A" w14:textId="77777777" w:rsidR="004D757B" w:rsidRPr="00E4462A" w:rsidRDefault="004D757B" w:rsidP="008B22B1">
      <w:pPr>
        <w:spacing w:line="360" w:lineRule="auto"/>
        <w:jc w:val="both"/>
        <w:rPr>
          <w:rFonts w:cs="Arial"/>
          <w:lang w:val="en-GB"/>
        </w:rPr>
      </w:pPr>
    </w:p>
    <w:p w14:paraId="10D2565F" w14:textId="77777777" w:rsidR="004D757B" w:rsidRPr="00E4462A" w:rsidRDefault="00331408" w:rsidP="0059577E">
      <w:pPr>
        <w:spacing w:line="360" w:lineRule="auto"/>
        <w:jc w:val="both"/>
        <w:rPr>
          <w:rFonts w:cs="Arial"/>
          <w:i/>
          <w:lang w:val="en-GB"/>
        </w:rPr>
      </w:pPr>
      <w:r w:rsidRPr="00E4462A">
        <w:rPr>
          <w:rFonts w:cs="Arial"/>
          <w:i/>
          <w:lang w:val="en-GB"/>
        </w:rPr>
        <w:t xml:space="preserve">3a) </w:t>
      </w:r>
      <w:r w:rsidR="0059577E" w:rsidRPr="00E4462A">
        <w:rPr>
          <w:rFonts w:cs="Arial"/>
          <w:i/>
          <w:lang w:val="en-GB"/>
        </w:rPr>
        <w:t xml:space="preserve">Optical properties: </w:t>
      </w:r>
      <w:r w:rsidR="004D757B" w:rsidRPr="00E4462A">
        <w:rPr>
          <w:rFonts w:cs="Arial"/>
          <w:lang w:val="en-GB"/>
        </w:rPr>
        <w:t>Optical properties consisting of A</w:t>
      </w:r>
      <w:r w:rsidR="004D757B" w:rsidRPr="00E4462A">
        <w:rPr>
          <w:rFonts w:cs="Arial"/>
          <w:vertAlign w:val="subscript"/>
          <w:lang w:val="en-GB"/>
        </w:rPr>
        <w:t>254</w:t>
      </w:r>
      <w:r w:rsidR="004D757B" w:rsidRPr="00E4462A">
        <w:rPr>
          <w:rFonts w:cs="Arial"/>
          <w:lang w:val="en-GB"/>
        </w:rPr>
        <w:t>, SUVA</w:t>
      </w:r>
      <w:r w:rsidR="004D757B" w:rsidRPr="00E4462A">
        <w:rPr>
          <w:rFonts w:cs="Arial"/>
          <w:vertAlign w:val="subscript"/>
          <w:lang w:val="en-GB"/>
        </w:rPr>
        <w:t>254</w:t>
      </w:r>
      <w:r w:rsidR="004D757B" w:rsidRPr="00E4462A">
        <w:rPr>
          <w:rFonts w:cs="Arial"/>
          <w:lang w:val="en-GB"/>
        </w:rPr>
        <w:t>, FI, S</w:t>
      </w:r>
      <w:r w:rsidR="004D757B" w:rsidRPr="00E4462A">
        <w:rPr>
          <w:rFonts w:cs="Arial"/>
          <w:vertAlign w:val="subscript"/>
          <w:lang w:val="en-GB"/>
        </w:rPr>
        <w:t>R</w:t>
      </w:r>
      <w:r w:rsidR="004D757B" w:rsidRPr="00E4462A">
        <w:rPr>
          <w:rFonts w:cs="Arial"/>
          <w:lang w:val="en-GB"/>
        </w:rPr>
        <w:t xml:space="preserve"> and EEM-PARAFAC for the six samples for SPE-DOM analysis are presented in Table 1. Although large differences in DOC and A</w:t>
      </w:r>
      <w:r w:rsidR="004D757B" w:rsidRPr="00E4462A">
        <w:rPr>
          <w:rFonts w:cs="Arial"/>
          <w:vertAlign w:val="subscript"/>
          <w:lang w:val="en-GB"/>
        </w:rPr>
        <w:t>254</w:t>
      </w:r>
      <w:r w:rsidR="004D757B" w:rsidRPr="00E4462A">
        <w:rPr>
          <w:rFonts w:cs="Arial"/>
          <w:lang w:val="en-GB"/>
        </w:rPr>
        <w:t xml:space="preserve"> were observed for the diff</w:t>
      </w:r>
      <w:r w:rsidR="00283F44" w:rsidRPr="00E4462A">
        <w:rPr>
          <w:rFonts w:cs="Arial"/>
          <w:lang w:val="en-GB"/>
        </w:rPr>
        <w:t>erent samples (DOC range of 5.8 to 28.6</w:t>
      </w:r>
      <w:r w:rsidR="004D757B" w:rsidRPr="00E4462A">
        <w:rPr>
          <w:rFonts w:cs="Arial"/>
          <w:lang w:val="en-GB"/>
        </w:rPr>
        <w:t xml:space="preserve"> ppm; A</w:t>
      </w:r>
      <w:r w:rsidR="004D757B" w:rsidRPr="00E4462A">
        <w:rPr>
          <w:rFonts w:cs="Arial"/>
          <w:vertAlign w:val="subscript"/>
          <w:lang w:val="en-GB"/>
        </w:rPr>
        <w:t>254</w:t>
      </w:r>
      <w:r w:rsidR="004D757B" w:rsidRPr="00E4462A">
        <w:rPr>
          <w:rFonts w:cs="Arial"/>
          <w:lang w:val="en-GB"/>
        </w:rPr>
        <w:t xml:space="preserve"> from 0.202 to 0.844) some of the qualitative optical parameters such as the S</w:t>
      </w:r>
      <w:r w:rsidR="004D757B" w:rsidRPr="00E4462A">
        <w:rPr>
          <w:rFonts w:cs="Arial"/>
          <w:vertAlign w:val="subscript"/>
          <w:lang w:val="en-GB"/>
        </w:rPr>
        <w:t>R</w:t>
      </w:r>
      <w:r w:rsidR="004D757B" w:rsidRPr="00E4462A">
        <w:rPr>
          <w:rFonts w:cs="Arial"/>
          <w:lang w:val="en-GB"/>
        </w:rPr>
        <w:t xml:space="preserve"> values (range 0.91 to 0.98) and the FI values (range 1.30 to 1.44) all fell into a relatively narrow range. In contrast, the SUVA</w:t>
      </w:r>
      <w:r w:rsidR="004D757B" w:rsidRPr="00E4462A">
        <w:rPr>
          <w:rFonts w:cs="Arial"/>
          <w:vertAlign w:val="subscript"/>
          <w:lang w:val="en-GB"/>
        </w:rPr>
        <w:t>254</w:t>
      </w:r>
      <w:r w:rsidR="004D757B" w:rsidRPr="00E4462A">
        <w:rPr>
          <w:rFonts w:cs="Arial"/>
          <w:lang w:val="en-GB"/>
        </w:rPr>
        <w:t xml:space="preserve"> values covered a larger range from 2.72 to 5.11. A linear correlation was observed between the DOC and the A</w:t>
      </w:r>
      <w:r w:rsidR="004D757B" w:rsidRPr="00E4462A">
        <w:rPr>
          <w:rFonts w:cs="Arial"/>
          <w:vertAlign w:val="subscript"/>
          <w:lang w:val="en-GB"/>
        </w:rPr>
        <w:t>254</w:t>
      </w:r>
      <w:r w:rsidR="004D757B" w:rsidRPr="00E4462A">
        <w:rPr>
          <w:rFonts w:cs="Arial"/>
          <w:lang w:val="en-GB"/>
        </w:rPr>
        <w:t xml:space="preserve"> (r</w:t>
      </w:r>
      <w:r w:rsidR="004D757B" w:rsidRPr="00E4462A">
        <w:rPr>
          <w:rFonts w:cs="Arial"/>
          <w:vertAlign w:val="superscript"/>
          <w:lang w:val="en-GB"/>
        </w:rPr>
        <w:t>2</w:t>
      </w:r>
      <w:r w:rsidR="004D757B" w:rsidRPr="00E4462A">
        <w:rPr>
          <w:rFonts w:cs="Arial"/>
          <w:lang w:val="en-GB"/>
        </w:rPr>
        <w:t>=0.95).</w:t>
      </w:r>
    </w:p>
    <w:p w14:paraId="704828E4" w14:textId="5AB61D91" w:rsidR="004D757B" w:rsidRPr="00E4462A" w:rsidRDefault="004D757B" w:rsidP="00EA3CBC">
      <w:pPr>
        <w:spacing w:line="360" w:lineRule="auto"/>
        <w:ind w:firstLine="708"/>
        <w:jc w:val="both"/>
        <w:rPr>
          <w:rFonts w:cs="Arial"/>
          <w:lang w:val="en-GB"/>
        </w:rPr>
      </w:pPr>
      <w:r w:rsidRPr="00E4462A">
        <w:rPr>
          <w:rFonts w:cs="Arial"/>
          <w:lang w:val="en-GB"/>
        </w:rPr>
        <w:t>S</w:t>
      </w:r>
      <w:r w:rsidRPr="00E4462A">
        <w:rPr>
          <w:rFonts w:cs="Arial"/>
          <w:vertAlign w:val="subscript"/>
          <w:lang w:val="en-GB"/>
        </w:rPr>
        <w:t>R</w:t>
      </w:r>
      <w:r w:rsidRPr="00E4462A">
        <w:rPr>
          <w:rFonts w:cs="Arial"/>
          <w:lang w:val="en-GB"/>
        </w:rPr>
        <w:t xml:space="preserve"> and FI values were quite similar for all sample pairs and among samples, suggesting that the molecular weight distribution and the soil/higher plant vs. microbial contributions were quite similar among these samples, or that the mineralization of wetland DOM leads to similar compositional features for systems with different organic matter sources. Detailed molecular characterizations of DOM in headwater streams from different climatic regions (biomes) have been reported to </w:t>
      </w:r>
      <w:r w:rsidR="00475149" w:rsidRPr="00E4462A">
        <w:rPr>
          <w:rFonts w:cs="Arial"/>
          <w:lang w:val="en-GB"/>
        </w:rPr>
        <w:t>exhibit</w:t>
      </w:r>
      <w:r w:rsidRPr="00E4462A">
        <w:rPr>
          <w:rFonts w:cs="Arial"/>
          <w:lang w:val="en-GB"/>
        </w:rPr>
        <w:t xml:space="preserve"> remarkably similar bulk characteristics, although site-specific features were also identified in each case (Jaffé et al., 2012). However, in the case of the SUVA</w:t>
      </w:r>
      <w:r w:rsidRPr="00E4462A">
        <w:rPr>
          <w:rFonts w:cs="Arial"/>
          <w:vertAlign w:val="subscript"/>
          <w:lang w:val="en-GB"/>
        </w:rPr>
        <w:t>254</w:t>
      </w:r>
      <w:r w:rsidR="00EA3CBC" w:rsidRPr="00E4462A">
        <w:rPr>
          <w:rFonts w:cs="Arial"/>
          <w:lang w:val="en-GB"/>
        </w:rPr>
        <w:t xml:space="preserve">, </w:t>
      </w:r>
      <w:r w:rsidRPr="00E4462A">
        <w:rPr>
          <w:rFonts w:cs="Arial"/>
          <w:lang w:val="en-GB"/>
        </w:rPr>
        <w:t xml:space="preserve">some clear </w:t>
      </w:r>
      <w:r w:rsidR="00631EA0" w:rsidRPr="00E4462A">
        <w:rPr>
          <w:rFonts w:cs="Arial"/>
          <w:lang w:val="en-GB"/>
        </w:rPr>
        <w:t>compositional variations</w:t>
      </w:r>
      <w:r w:rsidRPr="00E4462A">
        <w:rPr>
          <w:rFonts w:cs="Arial"/>
          <w:lang w:val="en-GB"/>
        </w:rPr>
        <w:t xml:space="preserve"> between different wetland</w:t>
      </w:r>
      <w:r w:rsidR="00631EA0" w:rsidRPr="00E4462A">
        <w:rPr>
          <w:rFonts w:cs="Arial"/>
          <w:lang w:val="en-GB"/>
        </w:rPr>
        <w:t xml:space="preserve"> DOM</w:t>
      </w:r>
      <w:r w:rsidRPr="00E4462A">
        <w:rPr>
          <w:rFonts w:cs="Arial"/>
          <w:lang w:val="en-GB"/>
        </w:rPr>
        <w:t xml:space="preserve"> became apparent, where the samples from the more strongly soil-OM (or peat) influenced, long hydroperiod sites</w:t>
      </w:r>
      <w:r w:rsidR="00B06278" w:rsidRPr="00E4462A">
        <w:rPr>
          <w:rFonts w:cs="Arial"/>
          <w:lang w:val="en-GB"/>
        </w:rPr>
        <w:t>,</w:t>
      </w:r>
      <w:r w:rsidRPr="00E4462A">
        <w:rPr>
          <w:rFonts w:cs="Arial"/>
          <w:lang w:val="en-GB"/>
        </w:rPr>
        <w:t xml:space="preserve"> featured higher SUVA</w:t>
      </w:r>
      <w:r w:rsidRPr="00E4462A">
        <w:rPr>
          <w:rFonts w:cs="Arial"/>
          <w:vertAlign w:val="subscript"/>
          <w:lang w:val="en-GB"/>
        </w:rPr>
        <w:t>254</w:t>
      </w:r>
      <w:r w:rsidRPr="00E4462A">
        <w:rPr>
          <w:rFonts w:cs="Arial"/>
          <w:lang w:val="en-GB"/>
        </w:rPr>
        <w:t xml:space="preserve"> values compared to those with larger microbial and emergent/aquatic plant influence, short hydroperiod sites. Indeed, SUVA</w:t>
      </w:r>
      <w:r w:rsidRPr="00E4462A">
        <w:rPr>
          <w:rFonts w:cs="Arial"/>
          <w:vertAlign w:val="subscript"/>
          <w:lang w:val="en-GB"/>
        </w:rPr>
        <w:t>254</w:t>
      </w:r>
      <w:r w:rsidRPr="00E4462A">
        <w:rPr>
          <w:rFonts w:cs="Arial"/>
          <w:lang w:val="en-GB"/>
        </w:rPr>
        <w:t xml:space="preserve"> </w:t>
      </w:r>
      <w:r w:rsidR="00EA3CBC" w:rsidRPr="00E4462A">
        <w:rPr>
          <w:rFonts w:cs="Arial"/>
          <w:lang w:val="en-GB"/>
        </w:rPr>
        <w:t>showed</w:t>
      </w:r>
      <w:r w:rsidRPr="00E4462A">
        <w:rPr>
          <w:rFonts w:cs="Arial"/>
          <w:lang w:val="en-GB"/>
        </w:rPr>
        <w:t xml:space="preserve"> higher values for the peat-based FCE-L compared to the marl-based FCE-S, the Paraguay River sample PAN-L compared to the wetland channel PAN-S, and in the seasonally flooded Boro River floodplain OKA-L compared </w:t>
      </w:r>
      <w:r w:rsidRPr="00E4462A">
        <w:rPr>
          <w:rFonts w:cs="Arial"/>
          <w:lang w:val="en-GB"/>
        </w:rPr>
        <w:lastRenderedPageBreak/>
        <w:t>to the occasional floodplain OKA-S. Although the differences in FI for the PAN samples were not significant, FI values for the other sites were expectedly inversely correlated to SUVA</w:t>
      </w:r>
      <w:r w:rsidRPr="00E4462A">
        <w:rPr>
          <w:rFonts w:cs="Arial"/>
          <w:vertAlign w:val="subscript"/>
          <w:lang w:val="en-GB"/>
        </w:rPr>
        <w:t xml:space="preserve">254 </w:t>
      </w:r>
      <w:r w:rsidRPr="00E4462A">
        <w:rPr>
          <w:rFonts w:cs="Arial"/>
          <w:lang w:val="en-GB"/>
        </w:rPr>
        <w:t>(</w:t>
      </w:r>
      <w:r w:rsidR="00283F44" w:rsidRPr="00E4462A">
        <w:rPr>
          <w:rFonts w:cs="Arial"/>
          <w:lang w:val="en-GB"/>
        </w:rPr>
        <w:t>Jaffé</w:t>
      </w:r>
      <w:r w:rsidRPr="00E4462A">
        <w:rPr>
          <w:rFonts w:cs="Arial"/>
          <w:lang w:val="en-GB"/>
        </w:rPr>
        <w:t xml:space="preserve"> et al., 2008).</w:t>
      </w:r>
    </w:p>
    <w:p w14:paraId="1B559D61" w14:textId="0D0C0AE2" w:rsidR="004D757B" w:rsidRPr="00E4462A" w:rsidRDefault="004D757B" w:rsidP="008B22B1">
      <w:pPr>
        <w:spacing w:line="360" w:lineRule="auto"/>
        <w:ind w:firstLine="708"/>
        <w:jc w:val="both"/>
        <w:rPr>
          <w:rFonts w:cs="Arial"/>
          <w:lang w:val="en-GB"/>
        </w:rPr>
      </w:pPr>
      <w:r w:rsidRPr="00E4462A">
        <w:rPr>
          <w:rFonts w:cs="Arial"/>
          <w:lang w:val="en-GB"/>
        </w:rPr>
        <w:t>The application of the FCE PARAFAC model to the OKA and PAN samples resulted in an excellent fit leaving no significant residues and was properly validated. The application of the FCE PARAFAC model to assess fluorescence characteristics of DOM from other wetlands was previously reported for the Oka</w:t>
      </w:r>
      <w:r w:rsidR="003D4364" w:rsidRPr="00E4462A">
        <w:rPr>
          <w:rFonts w:cs="Arial"/>
          <w:lang w:val="en-GB"/>
        </w:rPr>
        <w:t>v</w:t>
      </w:r>
      <w:r w:rsidRPr="00E4462A">
        <w:rPr>
          <w:rFonts w:cs="Arial"/>
          <w:lang w:val="en-GB"/>
        </w:rPr>
        <w:t>ango Delta (Cawley et al., 2012). In addition, the distribution of the EEM-PARAFAC components w</w:t>
      </w:r>
      <w:r w:rsidR="003D4364" w:rsidRPr="00E4462A">
        <w:rPr>
          <w:rFonts w:cs="Arial"/>
          <w:lang w:val="en-GB"/>
        </w:rPr>
        <w:t>as</w:t>
      </w:r>
      <w:r w:rsidRPr="00E4462A">
        <w:rPr>
          <w:rFonts w:cs="Arial"/>
          <w:lang w:val="en-GB"/>
        </w:rPr>
        <w:t xml:space="preserve"> also surprisingly similar among the six samples with C1 being </w:t>
      </w:r>
      <w:r w:rsidR="00631EA0" w:rsidRPr="00E4462A">
        <w:rPr>
          <w:rFonts w:cs="Arial"/>
          <w:lang w:val="en-GB"/>
        </w:rPr>
        <w:t>dominant, followed by C3</w:t>
      </w:r>
      <w:r w:rsidR="001A7415" w:rsidRPr="00E4462A">
        <w:rPr>
          <w:rFonts w:cs="Arial"/>
          <w:lang w:val="en-GB"/>
        </w:rPr>
        <w:t xml:space="preserve"> </w:t>
      </w:r>
      <w:r w:rsidR="00631EA0" w:rsidRPr="00E4462A">
        <w:rPr>
          <w:rFonts w:cs="Arial"/>
          <w:lang w:val="en-GB"/>
        </w:rPr>
        <w:t>&gt;</w:t>
      </w:r>
      <w:r w:rsidR="001A7415" w:rsidRPr="00E4462A">
        <w:rPr>
          <w:rFonts w:cs="Arial"/>
          <w:lang w:val="en-GB"/>
        </w:rPr>
        <w:t xml:space="preserve"> </w:t>
      </w:r>
      <w:r w:rsidRPr="00E4462A">
        <w:rPr>
          <w:rFonts w:cs="Arial"/>
          <w:lang w:val="en-GB"/>
        </w:rPr>
        <w:t>C5</w:t>
      </w:r>
      <w:r w:rsidR="001A7415" w:rsidRPr="00E4462A">
        <w:rPr>
          <w:rFonts w:cs="Arial"/>
          <w:lang w:val="en-GB"/>
        </w:rPr>
        <w:t xml:space="preserve"> </w:t>
      </w:r>
      <w:r w:rsidR="00631EA0" w:rsidRPr="00E4462A">
        <w:rPr>
          <w:rFonts w:cs="Arial"/>
          <w:lang w:val="en-GB"/>
        </w:rPr>
        <w:t>&gt;</w:t>
      </w:r>
      <w:r w:rsidR="001A7415" w:rsidRPr="00E4462A">
        <w:rPr>
          <w:rFonts w:cs="Arial"/>
          <w:lang w:val="en-GB"/>
        </w:rPr>
        <w:t xml:space="preserve"> </w:t>
      </w:r>
      <w:r w:rsidRPr="00E4462A">
        <w:rPr>
          <w:rFonts w:cs="Arial"/>
          <w:lang w:val="en-GB"/>
        </w:rPr>
        <w:t>C4</w:t>
      </w:r>
      <w:r w:rsidR="001A7415" w:rsidRPr="00E4462A">
        <w:rPr>
          <w:rFonts w:cs="Arial"/>
          <w:lang w:val="en-GB"/>
        </w:rPr>
        <w:t xml:space="preserve"> </w:t>
      </w:r>
      <w:r w:rsidR="00631EA0" w:rsidRPr="00E4462A">
        <w:rPr>
          <w:rFonts w:cs="Arial"/>
          <w:lang w:val="en-GB"/>
        </w:rPr>
        <w:t>&gt;</w:t>
      </w:r>
      <w:r w:rsidR="001A7415" w:rsidRPr="00E4462A">
        <w:rPr>
          <w:rFonts w:cs="Arial"/>
          <w:lang w:val="en-GB"/>
        </w:rPr>
        <w:t xml:space="preserve"> </w:t>
      </w:r>
      <w:r w:rsidRPr="00E4462A">
        <w:rPr>
          <w:rFonts w:cs="Arial"/>
          <w:lang w:val="en-GB"/>
        </w:rPr>
        <w:t>C6 and C7 and with C2 and C8 showing the lowest relative abundance. This trend is consistent with previous reports for the greater Everglades ecosystem (Yamashita et al., 2010; Chen et al., 2013). EEM-PARAFAC</w:t>
      </w:r>
      <w:r w:rsidR="00AA40F2" w:rsidRPr="00E4462A">
        <w:rPr>
          <w:rFonts w:cs="Arial"/>
          <w:lang w:val="en-GB"/>
        </w:rPr>
        <w:t xml:space="preserve"> results</w:t>
      </w:r>
      <w:r w:rsidRPr="00E4462A">
        <w:rPr>
          <w:rFonts w:cs="Arial"/>
          <w:lang w:val="en-GB"/>
        </w:rPr>
        <w:t xml:space="preserve"> for the three wetlands </w:t>
      </w:r>
      <w:r w:rsidR="00AA40F2" w:rsidRPr="00E4462A">
        <w:rPr>
          <w:rFonts w:cs="Arial"/>
          <w:lang w:val="en-GB"/>
        </w:rPr>
        <w:t>are</w:t>
      </w:r>
      <w:r w:rsidRPr="00E4462A">
        <w:rPr>
          <w:rFonts w:cs="Arial"/>
          <w:lang w:val="en-GB"/>
        </w:rPr>
        <w:t xml:space="preserve"> shown in Figure 1. The</w:t>
      </w:r>
      <w:r w:rsidR="0036506E" w:rsidRPr="00E4462A">
        <w:rPr>
          <w:rFonts w:cs="Arial"/>
          <w:lang w:val="en-GB"/>
        </w:rPr>
        <w:t xml:space="preserve"> data for FCE are presented</w:t>
      </w:r>
      <w:r w:rsidRPr="00E4462A">
        <w:rPr>
          <w:rFonts w:cs="Arial"/>
          <w:lang w:val="en-GB"/>
        </w:rPr>
        <w:t xml:space="preserve"> as two separate sub-groups representing Everglades National Park (ENP) sites and the Water Conservation Area 2 (WCA2), an area located north of the ENP boundary where water resources are heavily managed and agricultural runoff is significant (Yamashita et al., 2010). In general terms, no significant differences were observed in the PARAFAC component distribution</w:t>
      </w:r>
      <w:r w:rsidR="003D4364" w:rsidRPr="00E4462A">
        <w:rPr>
          <w:rFonts w:cs="Arial"/>
          <w:lang w:val="en-GB"/>
        </w:rPr>
        <w:t>s</w:t>
      </w:r>
      <w:r w:rsidRPr="00E4462A">
        <w:rPr>
          <w:rFonts w:cs="Arial"/>
          <w:lang w:val="en-GB"/>
        </w:rPr>
        <w:t xml:space="preserve"> between FCE, OKA and PAN, and the only difference of significance was the relative abundance of the C2 PARAFAC component which was higher in the WCA2 compared to all other study regions. In agreement with the above, comparing the EEM-PARAFAC distributions between and among the six stations, and amongst the larger datasets of collected surface water samples (Table 1; Fig</w:t>
      </w:r>
      <w:r w:rsidR="005E0D21" w:rsidRPr="00E4462A">
        <w:rPr>
          <w:rFonts w:cs="Arial"/>
          <w:lang w:val="en-GB"/>
        </w:rPr>
        <w:t>.</w:t>
      </w:r>
      <w:r w:rsidRPr="00E4462A">
        <w:rPr>
          <w:rFonts w:cs="Arial"/>
          <w:lang w:val="en-GB"/>
        </w:rPr>
        <w:t xml:space="preserve"> 1), no statistically significant differences were observed, although the range in values was large. </w:t>
      </w:r>
      <w:r w:rsidR="00631EA0" w:rsidRPr="00E4462A">
        <w:rPr>
          <w:rFonts w:cs="Arial"/>
          <w:lang w:val="en-GB"/>
        </w:rPr>
        <w:t>C</w:t>
      </w:r>
      <w:r w:rsidRPr="00E4462A">
        <w:rPr>
          <w:rFonts w:cs="Arial"/>
          <w:lang w:val="en-GB"/>
        </w:rPr>
        <w:t xml:space="preserve">omponent </w:t>
      </w:r>
      <w:r w:rsidR="00631EA0" w:rsidRPr="00E4462A">
        <w:rPr>
          <w:rFonts w:cs="Arial"/>
          <w:lang w:val="en-GB"/>
        </w:rPr>
        <w:t xml:space="preserve">C2 </w:t>
      </w:r>
      <w:r w:rsidRPr="00E4462A">
        <w:rPr>
          <w:rFonts w:cs="Arial"/>
          <w:lang w:val="en-GB"/>
        </w:rPr>
        <w:t>has been suggested to be photo-chemically stable or possibly a photo-degradation product (Chen et al., 2010; Cawley et al., 2012; Chen and Jaffé, 2014) and has also been identified as derived f</w:t>
      </w:r>
      <w:r w:rsidR="00AC0E11" w:rsidRPr="00E4462A">
        <w:rPr>
          <w:rFonts w:cs="Arial"/>
          <w:lang w:val="en-GB"/>
        </w:rPr>
        <w:t>rom</w:t>
      </w:r>
      <w:r w:rsidRPr="00E4462A">
        <w:rPr>
          <w:rFonts w:cs="Arial"/>
          <w:lang w:val="en-GB"/>
        </w:rPr>
        <w:t xml:space="preserve"> the oxidation of soil OM, being exported from the Everglades Agricultural Area (EAA; located to the north of the WCA; Yamashita et al., </w:t>
      </w:r>
      <w:r w:rsidR="00FC5AF8" w:rsidRPr="00E4462A">
        <w:rPr>
          <w:rFonts w:cs="Arial"/>
          <w:lang w:val="en-GB"/>
        </w:rPr>
        <w:t>2010). As such it is not surpris</w:t>
      </w:r>
      <w:r w:rsidRPr="00E4462A">
        <w:rPr>
          <w:rFonts w:cs="Arial"/>
          <w:lang w:val="en-GB"/>
        </w:rPr>
        <w:t>ing that the levels for C2 are enriched in waters from the WCA2, which receives significant canal inputs from the EAA. In the other wetlands and at freshwater marshes in more distant regions of the Everglades, C2 is only a relatively minor component of the DOM fluorescence signal. However, the most interesting aspect of this comparison is that the FCE-based PARAFAC model provided a perfect fit for both the OKA and PAN samples, suggesting that the overall fluorescent properties of the DOM in the three wetlands are quite similar.</w:t>
      </w:r>
    </w:p>
    <w:p w14:paraId="3E83511B" w14:textId="77777777" w:rsidR="00E55AFA" w:rsidRPr="00E4462A" w:rsidRDefault="00E55AFA" w:rsidP="008B22B1">
      <w:pPr>
        <w:spacing w:line="360" w:lineRule="auto"/>
        <w:jc w:val="both"/>
        <w:rPr>
          <w:lang w:val="en-US"/>
        </w:rPr>
      </w:pPr>
    </w:p>
    <w:p w14:paraId="7E343A0B" w14:textId="77777777" w:rsidR="00B70FA1" w:rsidRPr="00E4462A" w:rsidRDefault="00331408" w:rsidP="0059577E">
      <w:pPr>
        <w:spacing w:line="360" w:lineRule="auto"/>
        <w:jc w:val="both"/>
        <w:outlineLvl w:val="0"/>
        <w:rPr>
          <w:i/>
          <w:lang w:val="en-GB"/>
        </w:rPr>
      </w:pPr>
      <w:r w:rsidRPr="00E4462A">
        <w:rPr>
          <w:i/>
          <w:lang w:val="en-GB"/>
        </w:rPr>
        <w:t xml:space="preserve">3b) </w:t>
      </w:r>
      <w:r w:rsidR="00B70FA1" w:rsidRPr="00E4462A">
        <w:rPr>
          <w:i/>
          <w:lang w:val="en-GB"/>
        </w:rPr>
        <w:t>NMR study</w:t>
      </w:r>
    </w:p>
    <w:p w14:paraId="4ECB3B7F" w14:textId="34A3A671" w:rsidR="00D24F3A" w:rsidRPr="00E4462A" w:rsidRDefault="00714C16" w:rsidP="0059577E">
      <w:pPr>
        <w:spacing w:line="360" w:lineRule="auto"/>
        <w:jc w:val="both"/>
        <w:outlineLvl w:val="0"/>
        <w:rPr>
          <w:i/>
          <w:lang w:val="en-GB" w:eastAsia="zh-CN"/>
        </w:rPr>
      </w:pPr>
      <w:r w:rsidRPr="00E4462A">
        <w:rPr>
          <w:i/>
          <w:lang w:val="en-GB"/>
        </w:rPr>
        <w:t xml:space="preserve">NMR spectra </w:t>
      </w:r>
      <w:r w:rsidR="0059577E" w:rsidRPr="00E4462A">
        <w:rPr>
          <w:i/>
          <w:lang w:val="en-GB" w:eastAsia="zh-CN"/>
        </w:rPr>
        <w:t xml:space="preserve">of SPE-DOM: </w:t>
      </w:r>
      <w:r w:rsidR="00404F01" w:rsidRPr="00E4462A">
        <w:rPr>
          <w:rFonts w:cs="Arial"/>
          <w:lang w:val="en-GB"/>
        </w:rPr>
        <w:t>H</w:t>
      </w:r>
      <w:r w:rsidRPr="00E4462A">
        <w:rPr>
          <w:rFonts w:cs="Arial"/>
          <w:lang w:val="en-GB"/>
        </w:rPr>
        <w:t>igh field (800 MHz)</w:t>
      </w:r>
      <w:r w:rsidR="007F038C" w:rsidRPr="00E4462A">
        <w:rPr>
          <w:rFonts w:cs="Arial"/>
          <w:lang w:val="en-GB"/>
        </w:rPr>
        <w:t xml:space="preserve"> </w:t>
      </w:r>
      <w:r w:rsidRPr="00E4462A">
        <w:rPr>
          <w:rFonts w:cs="Arial"/>
          <w:lang w:val="en-GB"/>
        </w:rPr>
        <w:t xml:space="preserve">NMR </w:t>
      </w:r>
      <w:r w:rsidR="007F038C" w:rsidRPr="00E4462A">
        <w:rPr>
          <w:rFonts w:cs="Arial"/>
          <w:lang w:val="en-GB"/>
        </w:rPr>
        <w:t>spectra</w:t>
      </w:r>
      <w:r w:rsidRPr="00E4462A">
        <w:rPr>
          <w:rFonts w:cs="Arial"/>
          <w:lang w:val="en-GB"/>
        </w:rPr>
        <w:t xml:space="preserve"> with cryogenic detection </w:t>
      </w:r>
      <w:r w:rsidR="00DA347A" w:rsidRPr="00E4462A">
        <w:rPr>
          <w:rFonts w:cs="Arial"/>
          <w:lang w:val="en-GB"/>
        </w:rPr>
        <w:t xml:space="preserve">performed on six samples (paired long and short hydroperiod sites from each wetland) </w:t>
      </w:r>
      <w:r w:rsidRPr="00E4462A">
        <w:rPr>
          <w:rFonts w:cs="Arial"/>
          <w:lang w:val="en-GB"/>
        </w:rPr>
        <w:t>re</w:t>
      </w:r>
      <w:r w:rsidR="00404F01" w:rsidRPr="00E4462A">
        <w:rPr>
          <w:rFonts w:cs="Arial"/>
          <w:lang w:val="en-GB"/>
        </w:rPr>
        <w:t>vealed</w:t>
      </w:r>
      <w:r w:rsidRPr="00E4462A">
        <w:rPr>
          <w:rFonts w:cs="Arial"/>
          <w:lang w:val="en-GB"/>
        </w:rPr>
        <w:t xml:space="preserve"> an exceptional coverage and chemical description of wetland organic proton and carbon chemical environments. The </w:t>
      </w:r>
      <w:r w:rsidRPr="00E4462A">
        <w:rPr>
          <w:rFonts w:cs="Arial"/>
          <w:vertAlign w:val="superscript"/>
          <w:lang w:val="en-GB"/>
        </w:rPr>
        <w:t>1</w:t>
      </w:r>
      <w:r w:rsidRPr="00E4462A">
        <w:rPr>
          <w:rFonts w:cs="Arial"/>
          <w:lang w:val="en-GB"/>
        </w:rPr>
        <w:t xml:space="preserve">H NMR spectra of </w:t>
      </w:r>
      <w:r w:rsidR="007F038C" w:rsidRPr="00E4462A">
        <w:rPr>
          <w:rFonts w:cs="Arial"/>
          <w:lang w:val="en-GB"/>
        </w:rPr>
        <w:t xml:space="preserve">wetland </w:t>
      </w:r>
      <w:r w:rsidRPr="00E4462A">
        <w:rPr>
          <w:rFonts w:cs="Arial"/>
          <w:lang w:val="en-GB"/>
        </w:rPr>
        <w:t xml:space="preserve">DOM </w:t>
      </w:r>
      <w:r w:rsidR="007F038C" w:rsidRPr="00E4462A">
        <w:rPr>
          <w:lang w:val="en-US"/>
        </w:rPr>
        <w:t xml:space="preserve">acquired with solvent suppression showed </w:t>
      </w:r>
      <w:r w:rsidR="003D4364" w:rsidRPr="00E4462A">
        <w:rPr>
          <w:lang w:val="en-US"/>
        </w:rPr>
        <w:t xml:space="preserve">the </w:t>
      </w:r>
      <w:r w:rsidR="007F038C" w:rsidRPr="00E4462A">
        <w:rPr>
          <w:lang w:val="en-US"/>
        </w:rPr>
        <w:t xml:space="preserve">prevalence of rather smooth bulk signal envelopes </w:t>
      </w:r>
      <w:r w:rsidR="007F038C" w:rsidRPr="00E4462A">
        <w:rPr>
          <w:rFonts w:cs="Arial"/>
          <w:lang w:val="en-GB"/>
        </w:rPr>
        <w:t xml:space="preserve">reflecting intrinsic averaging from massive signal overlap with a </w:t>
      </w:r>
      <w:r w:rsidR="00404F01" w:rsidRPr="00E4462A">
        <w:rPr>
          <w:rFonts w:cs="Arial"/>
          <w:lang w:val="en-GB"/>
        </w:rPr>
        <w:t>consi</w:t>
      </w:r>
      <w:r w:rsidR="007F038C" w:rsidRPr="00E4462A">
        <w:rPr>
          <w:rFonts w:cs="Arial"/>
          <w:lang w:val="en-GB"/>
        </w:rPr>
        <w:t xml:space="preserve">derable variance in abundance for all major chemical environments. In addition, </w:t>
      </w:r>
      <w:r w:rsidR="007F038C" w:rsidRPr="00E4462A">
        <w:rPr>
          <w:lang w:val="en-US"/>
        </w:rPr>
        <w:t xml:space="preserve">rather minor superimposed sharp individual NMR resonances </w:t>
      </w:r>
      <w:r w:rsidRPr="00E4462A">
        <w:rPr>
          <w:lang w:val="en-US"/>
        </w:rPr>
        <w:t>were indicative of biological signatures and occurred in the order PAN &gt; OKA &gt; FCE</w:t>
      </w:r>
      <w:r w:rsidR="007F038C" w:rsidRPr="00E4462A">
        <w:rPr>
          <w:lang w:val="en-US"/>
        </w:rPr>
        <w:t xml:space="preserve"> </w:t>
      </w:r>
      <w:r w:rsidR="007F038C" w:rsidRPr="00E4462A">
        <w:rPr>
          <w:rFonts w:cs="Arial"/>
          <w:lang w:val="en-GB"/>
        </w:rPr>
        <w:t>(Fig. 2</w:t>
      </w:r>
      <w:r w:rsidR="00E91615" w:rsidRPr="00E4462A">
        <w:rPr>
          <w:rFonts w:cs="Arial"/>
          <w:lang w:val="en-GB"/>
        </w:rPr>
        <w:t>; Fig. S1</w:t>
      </w:r>
      <w:r w:rsidR="007F038C" w:rsidRPr="00E4462A">
        <w:rPr>
          <w:rFonts w:cs="Arial"/>
          <w:lang w:val="en-GB"/>
        </w:rPr>
        <w:t>)</w:t>
      </w:r>
      <w:r w:rsidRPr="00E4462A">
        <w:rPr>
          <w:lang w:val="en-US"/>
        </w:rPr>
        <w:t xml:space="preserve">. </w:t>
      </w:r>
      <w:r w:rsidRPr="00E4462A">
        <w:rPr>
          <w:lang w:val="en-GB" w:eastAsia="zh-CN"/>
        </w:rPr>
        <w:t>From higher to lower field (from right to left), abundant (a) aliphatics, (b) “acetate-analogue</w:t>
      </w:r>
      <w:r w:rsidR="001A7415" w:rsidRPr="00E4462A">
        <w:rPr>
          <w:lang w:val="en-GB" w:eastAsia="zh-CN"/>
        </w:rPr>
        <w:t>s</w:t>
      </w:r>
      <w:r w:rsidRPr="00E4462A">
        <w:rPr>
          <w:lang w:val="en-GB" w:eastAsia="zh-CN"/>
        </w:rPr>
        <w:t xml:space="preserve">”, (c) carboxyl-rich alicyclic molecules </w:t>
      </w:r>
      <w:r w:rsidR="001A7415" w:rsidRPr="00E4462A">
        <w:rPr>
          <w:lang w:val="en-GB" w:eastAsia="zh-CN"/>
        </w:rPr>
        <w:t>(</w:t>
      </w:r>
      <w:r w:rsidRPr="00E4462A">
        <w:rPr>
          <w:lang w:val="en-GB" w:eastAsia="zh-CN"/>
        </w:rPr>
        <w:t>CRAM</w:t>
      </w:r>
      <w:r w:rsidR="001A7415" w:rsidRPr="00E4462A">
        <w:rPr>
          <w:lang w:val="en-GB" w:eastAsia="zh-CN"/>
        </w:rPr>
        <w:t>)</w:t>
      </w:r>
      <w:r w:rsidRPr="00E4462A">
        <w:rPr>
          <w:lang w:val="en-GB" w:eastAsia="zh-CN"/>
        </w:rPr>
        <w:t>, (d) “carbohydrate-like” and methoxy, (e) olefinic, and (f) aromatic NMR resonances showed well visible and rather broad maxima (letters given according to Fig. S1)</w:t>
      </w:r>
      <w:r w:rsidR="00E91615" w:rsidRPr="00E4462A">
        <w:rPr>
          <w:rFonts w:cs="Arial"/>
          <w:lang w:val="en-GB"/>
        </w:rPr>
        <w:t xml:space="preserve">. </w:t>
      </w:r>
    </w:p>
    <w:p w14:paraId="65B643F0" w14:textId="04BBE27D" w:rsidR="00714C16" w:rsidRPr="00E4462A" w:rsidRDefault="00714C16" w:rsidP="008B22B1">
      <w:pPr>
        <w:spacing w:line="360" w:lineRule="auto"/>
        <w:ind w:firstLine="708"/>
        <w:jc w:val="both"/>
        <w:rPr>
          <w:lang w:val="en-GB" w:eastAsia="zh-CN"/>
        </w:rPr>
      </w:pPr>
      <w:r w:rsidRPr="00E4462A">
        <w:rPr>
          <w:lang w:val="en-GB" w:eastAsia="zh-CN"/>
        </w:rPr>
        <w:t xml:space="preserve">Superimposed small NMR resonances indicative of comparatively abundant biological and biogeochemical molecules were most significant in the aromatic section (f), well noticeable in sections (e) and (a) and of continual lesser occurrence in the order c &gt; b &gt; d (Fig. </w:t>
      </w:r>
      <w:r w:rsidR="00C1371A" w:rsidRPr="00E4462A">
        <w:rPr>
          <w:lang w:val="en-GB" w:eastAsia="zh-CN"/>
        </w:rPr>
        <w:t>S1</w:t>
      </w:r>
      <w:r w:rsidRPr="00E4462A">
        <w:rPr>
          <w:lang w:val="en-GB" w:eastAsia="zh-CN"/>
        </w:rPr>
        <w:t xml:space="preserve">). </w:t>
      </w:r>
      <w:r w:rsidRPr="00E4462A">
        <w:rPr>
          <w:lang w:val="en-US"/>
        </w:rPr>
        <w:t xml:space="preserve">The area-normalized </w:t>
      </w:r>
      <w:r w:rsidRPr="00E4462A">
        <w:rPr>
          <w:vertAlign w:val="superscript"/>
          <w:lang w:val="en-US"/>
        </w:rPr>
        <w:t>1</w:t>
      </w:r>
      <w:r w:rsidR="003E5A8C" w:rsidRPr="00E4462A">
        <w:rPr>
          <w:lang w:val="en-US"/>
        </w:rPr>
        <w:t xml:space="preserve">H NMR spectra of the six </w:t>
      </w:r>
      <w:r w:rsidRPr="00E4462A">
        <w:rPr>
          <w:lang w:val="en-US"/>
        </w:rPr>
        <w:t xml:space="preserve">DOM </w:t>
      </w:r>
      <w:r w:rsidR="003E5A8C" w:rsidRPr="00E4462A">
        <w:rPr>
          <w:lang w:val="en-US"/>
        </w:rPr>
        <w:t xml:space="preserve">samples </w:t>
      </w:r>
      <w:r w:rsidRPr="00E4462A">
        <w:rPr>
          <w:lang w:val="en-US"/>
        </w:rPr>
        <w:t xml:space="preserve">(Fig. 2) showed more variance than their respective </w:t>
      </w:r>
      <w:r w:rsidRPr="00E4462A">
        <w:rPr>
          <w:vertAlign w:val="superscript"/>
          <w:lang w:val="en-US"/>
        </w:rPr>
        <w:t>1</w:t>
      </w:r>
      <w:r w:rsidRPr="00E4462A">
        <w:rPr>
          <w:lang w:val="en-US"/>
        </w:rPr>
        <w:t>H NMR section integrals (Tab</w:t>
      </w:r>
      <w:r w:rsidR="00292E57" w:rsidRPr="00E4462A">
        <w:rPr>
          <w:lang w:val="en-US"/>
        </w:rPr>
        <w:t>le</w:t>
      </w:r>
      <w:r w:rsidRPr="00E4462A">
        <w:rPr>
          <w:lang w:val="en-US"/>
        </w:rPr>
        <w:t xml:space="preserve"> 2), a plausible consequence of intrinsic averaging across sizable chemical shift windows (</w:t>
      </w:r>
      <w:r w:rsidR="007F038C" w:rsidRPr="00E4462A">
        <w:rPr>
          <w:lang w:val="en-US"/>
        </w:rPr>
        <w:t xml:space="preserve">Hertkorn et al., </w:t>
      </w:r>
      <w:r w:rsidR="00D24F3A" w:rsidRPr="00E4462A">
        <w:rPr>
          <w:lang w:val="en-US"/>
        </w:rPr>
        <w:t>2007</w:t>
      </w:r>
      <w:r w:rsidRPr="00E4462A">
        <w:rPr>
          <w:lang w:val="en-US"/>
        </w:rPr>
        <w:t>).</w:t>
      </w:r>
      <w:r w:rsidR="00B32203" w:rsidRPr="00E4462A">
        <w:rPr>
          <w:rFonts w:eastAsia="Calibri"/>
          <w:lang w:val="en-US"/>
        </w:rPr>
        <w:t xml:space="preserve"> One dimensional </w:t>
      </w:r>
      <w:r w:rsidR="00B32203" w:rsidRPr="00E4462A">
        <w:rPr>
          <w:rFonts w:eastAsia="Calibri"/>
          <w:vertAlign w:val="superscript"/>
          <w:lang w:val="en-US"/>
        </w:rPr>
        <w:t>1</w:t>
      </w:r>
      <w:r w:rsidR="00B32203" w:rsidRPr="00E4462A">
        <w:rPr>
          <w:rFonts w:eastAsia="Calibri"/>
          <w:lang w:val="en-US"/>
        </w:rPr>
        <w:t xml:space="preserve">H NMR spectra of wetland SPE-DOM revealed clear distinctions according to sample location, with pronounced congruence </w:t>
      </w:r>
      <w:r w:rsidR="003241A4" w:rsidRPr="00E4462A">
        <w:rPr>
          <w:rFonts w:eastAsia="Calibri"/>
          <w:lang w:val="en-US"/>
        </w:rPr>
        <w:t xml:space="preserve">between </w:t>
      </w:r>
      <w:r w:rsidR="00B32203" w:rsidRPr="00E4462A">
        <w:rPr>
          <w:rFonts w:eastAsia="Calibri"/>
          <w:lang w:val="en-US"/>
        </w:rPr>
        <w:t xml:space="preserve">the three pairs of samples (Fig. </w:t>
      </w:r>
      <w:r w:rsidR="00292E57" w:rsidRPr="00E4462A">
        <w:rPr>
          <w:rFonts w:eastAsia="Calibri"/>
          <w:lang w:val="en-US"/>
        </w:rPr>
        <w:t>S1</w:t>
      </w:r>
      <w:r w:rsidR="00B32203" w:rsidRPr="00E4462A">
        <w:rPr>
          <w:rFonts w:eastAsia="Calibri"/>
          <w:lang w:val="en-US"/>
        </w:rPr>
        <w:t xml:space="preserve">). Within sample pairs, </w:t>
      </w:r>
      <w:r w:rsidRPr="00E4462A">
        <w:rPr>
          <w:rFonts w:eastAsia="Calibri"/>
          <w:lang w:val="en-US"/>
        </w:rPr>
        <w:t xml:space="preserve">internal differences mainly </w:t>
      </w:r>
      <w:r w:rsidR="00B32203" w:rsidRPr="00E4462A">
        <w:rPr>
          <w:rFonts w:eastAsia="Calibri"/>
          <w:lang w:val="en-US"/>
        </w:rPr>
        <w:t xml:space="preserve">referred </w:t>
      </w:r>
      <w:r w:rsidRPr="00E4462A">
        <w:rPr>
          <w:rFonts w:eastAsia="Calibri"/>
          <w:lang w:val="en-US"/>
        </w:rPr>
        <w:t xml:space="preserve">to intensity variations (denoting variable abundance) rather than to alterations of NMR resonances positioning (denoting </w:t>
      </w:r>
      <w:r w:rsidR="00DB4D25" w:rsidRPr="00E4462A">
        <w:rPr>
          <w:rFonts w:eastAsia="Calibri"/>
          <w:lang w:val="en-US"/>
        </w:rPr>
        <w:t>molecular diversity</w:t>
      </w:r>
      <w:r w:rsidRPr="00E4462A">
        <w:rPr>
          <w:rFonts w:eastAsia="Calibri"/>
          <w:lang w:val="en-US"/>
        </w:rPr>
        <w:t>).</w:t>
      </w:r>
      <w:r w:rsidR="00B32203" w:rsidRPr="00E4462A">
        <w:rPr>
          <w:rFonts w:eastAsia="Calibri"/>
          <w:lang w:val="en-US"/>
        </w:rPr>
        <w:t xml:space="preserve"> The relative disparity was largest between both FCE-L and FCE-S whereas PAN and OKA samples were more alike among themselves</w:t>
      </w:r>
      <w:r w:rsidR="00014B76" w:rsidRPr="00E4462A">
        <w:rPr>
          <w:rFonts w:eastAsia="Calibri"/>
          <w:lang w:val="en-US"/>
        </w:rPr>
        <w:t xml:space="preserve"> (Fig. S2A, S2B, S2C and S2D)</w:t>
      </w:r>
      <w:r w:rsidR="00B32203" w:rsidRPr="00E4462A">
        <w:rPr>
          <w:rFonts w:eastAsia="Calibri"/>
          <w:lang w:val="en-US"/>
        </w:rPr>
        <w:t xml:space="preserve">. Otherwise, molecular divergence was most obvious in </w:t>
      </w:r>
      <w:r w:rsidR="003241A4" w:rsidRPr="00E4462A">
        <w:rPr>
          <w:rFonts w:eastAsia="Calibri"/>
          <w:lang w:val="en-US"/>
        </w:rPr>
        <w:t xml:space="preserve">the </w:t>
      </w:r>
      <w:r w:rsidR="00B32203" w:rsidRPr="00E4462A">
        <w:rPr>
          <w:rFonts w:eastAsia="Calibri"/>
          <w:lang w:val="en-US"/>
        </w:rPr>
        <w:t xml:space="preserve">case of unsaturated protons </w:t>
      </w:r>
      <w:r w:rsidR="00B32203" w:rsidRPr="00E4462A">
        <w:rPr>
          <w:rFonts w:cs="Arial"/>
          <w:lang w:val="en-GB"/>
        </w:rPr>
        <w:t>(</w:t>
      </w:r>
      <w:r w:rsidR="00B32203" w:rsidRPr="00E4462A">
        <w:rPr>
          <w:rFonts w:ascii="Symbol" w:eastAsia="Calibri" w:hAnsi="Symbol" w:cs="Calibri"/>
          <w:lang w:val="en-US"/>
        </w:rPr>
        <w:t></w:t>
      </w:r>
      <w:r w:rsidR="00B32203" w:rsidRPr="00E4462A">
        <w:rPr>
          <w:rFonts w:eastAsia="Arial Unicode MS"/>
          <w:vertAlign w:val="subscript"/>
          <w:lang w:val="en-US"/>
        </w:rPr>
        <w:t>H</w:t>
      </w:r>
      <w:r w:rsidR="00B32203" w:rsidRPr="00E4462A">
        <w:rPr>
          <w:rFonts w:cs="Arial"/>
          <w:lang w:val="en-GB"/>
        </w:rPr>
        <w:t xml:space="preserve"> &gt; 5 ppm)</w:t>
      </w:r>
      <w:r w:rsidR="00B32203" w:rsidRPr="00E4462A">
        <w:rPr>
          <w:rFonts w:eastAsia="Calibri"/>
          <w:lang w:val="en-US"/>
        </w:rPr>
        <w:t>.</w:t>
      </w:r>
      <w:r w:rsidRPr="00E4462A">
        <w:rPr>
          <w:rFonts w:eastAsia="Calibri"/>
          <w:vertAlign w:val="superscript"/>
          <w:lang w:val="en-US"/>
        </w:rPr>
        <w:t xml:space="preserve"> </w:t>
      </w:r>
      <w:r w:rsidR="00A13D94" w:rsidRPr="00E4462A">
        <w:rPr>
          <w:lang w:val="en-GB"/>
        </w:rPr>
        <w:t>Subtle relative changes in composition between pairs of samples were readily visualized by superposition NMR spectra in which the relative NMR section integrals of each aromatic and aliphatic substructures had been normalized to 100% (Fig. S2E, S2F, S2G).</w:t>
      </w:r>
    </w:p>
    <w:p w14:paraId="1C592EFF" w14:textId="220A33E1" w:rsidR="00042170" w:rsidRPr="00E4462A" w:rsidRDefault="00714C16" w:rsidP="008B22B1">
      <w:pPr>
        <w:spacing w:line="360" w:lineRule="auto"/>
        <w:ind w:firstLine="708"/>
        <w:jc w:val="both"/>
        <w:rPr>
          <w:rFonts w:cs="Arial"/>
          <w:lang w:val="en-GB"/>
        </w:rPr>
      </w:pPr>
      <w:r w:rsidRPr="00E4462A">
        <w:rPr>
          <w:rFonts w:cs="Arial"/>
          <w:lang w:val="en-GB"/>
        </w:rPr>
        <w:lastRenderedPageBreak/>
        <w:t xml:space="preserve">The </w:t>
      </w:r>
      <w:r w:rsidR="00404C06" w:rsidRPr="00E4462A">
        <w:rPr>
          <w:rFonts w:cs="Arial"/>
          <w:lang w:val="en-GB"/>
        </w:rPr>
        <w:t xml:space="preserve">larger </w:t>
      </w:r>
      <w:r w:rsidRPr="00E4462A">
        <w:rPr>
          <w:rFonts w:cs="Arial"/>
          <w:lang w:val="en-GB"/>
        </w:rPr>
        <w:t xml:space="preserve">discrimination </w:t>
      </w:r>
      <w:r w:rsidR="00404C06" w:rsidRPr="00E4462A">
        <w:rPr>
          <w:rFonts w:cs="Arial"/>
          <w:lang w:val="en-GB"/>
        </w:rPr>
        <w:t xml:space="preserve">observed </w:t>
      </w:r>
      <w:r w:rsidRPr="00E4462A">
        <w:rPr>
          <w:rFonts w:cs="Arial"/>
          <w:lang w:val="en-GB"/>
        </w:rPr>
        <w:t xml:space="preserve">between </w:t>
      </w:r>
      <w:r w:rsidR="00B32203" w:rsidRPr="00E4462A">
        <w:rPr>
          <w:rFonts w:cs="Arial"/>
          <w:vertAlign w:val="superscript"/>
          <w:lang w:val="en-GB"/>
        </w:rPr>
        <w:t>1</w:t>
      </w:r>
      <w:r w:rsidR="00B32203" w:rsidRPr="00E4462A">
        <w:rPr>
          <w:rFonts w:cs="Arial"/>
          <w:lang w:val="en-GB"/>
        </w:rPr>
        <w:t xml:space="preserve">H NMR spectra of </w:t>
      </w:r>
      <w:r w:rsidRPr="00E4462A">
        <w:rPr>
          <w:rFonts w:cs="Arial"/>
          <w:lang w:val="en-GB"/>
        </w:rPr>
        <w:t xml:space="preserve">DOM from different wetlands </w:t>
      </w:r>
      <w:r w:rsidR="00404C06" w:rsidRPr="00E4462A">
        <w:rPr>
          <w:rFonts w:cs="Arial"/>
          <w:lang w:val="en-GB"/>
        </w:rPr>
        <w:t xml:space="preserve">in comparison with </w:t>
      </w:r>
      <w:r w:rsidRPr="00E4462A">
        <w:rPr>
          <w:rFonts w:cs="Arial"/>
          <w:lang w:val="en-GB"/>
        </w:rPr>
        <w:t xml:space="preserve">the intrinsic variance among </w:t>
      </w:r>
      <w:r w:rsidR="00404C06" w:rsidRPr="00E4462A">
        <w:rPr>
          <w:rFonts w:cs="Arial"/>
          <w:lang w:val="en-GB"/>
        </w:rPr>
        <w:t>DOM</w:t>
      </w:r>
      <w:r w:rsidRPr="00E4462A">
        <w:rPr>
          <w:rFonts w:cs="Arial"/>
          <w:lang w:val="en-GB"/>
        </w:rPr>
        <w:t xml:space="preserve"> within each wetland</w:t>
      </w:r>
      <w:r w:rsidR="00404C06" w:rsidRPr="00E4462A">
        <w:rPr>
          <w:rFonts w:cs="Arial"/>
          <w:lang w:val="en-GB"/>
        </w:rPr>
        <w:t xml:space="preserve"> already suggest</w:t>
      </w:r>
      <w:r w:rsidR="00B5768A" w:rsidRPr="00E4462A">
        <w:rPr>
          <w:rFonts w:cs="Arial"/>
          <w:lang w:val="en-GB"/>
        </w:rPr>
        <w:t>ed</w:t>
      </w:r>
      <w:r w:rsidR="00404C06" w:rsidRPr="00E4462A">
        <w:rPr>
          <w:rFonts w:cs="Arial"/>
          <w:lang w:val="en-GB"/>
        </w:rPr>
        <w:t xml:space="preserve"> presence of an individual molecular signature, characteristic of each particular wetland</w:t>
      </w:r>
      <w:r w:rsidRPr="00E4462A">
        <w:rPr>
          <w:rFonts w:cs="Arial"/>
          <w:lang w:val="en-GB"/>
        </w:rPr>
        <w:t xml:space="preserve">. Table 2 </w:t>
      </w:r>
      <w:r w:rsidR="00432987" w:rsidRPr="00E4462A">
        <w:rPr>
          <w:rFonts w:cs="Arial"/>
          <w:lang w:val="en-GB"/>
        </w:rPr>
        <w:t>shows</w:t>
      </w:r>
      <w:r w:rsidRPr="00E4462A">
        <w:rPr>
          <w:rFonts w:cs="Arial"/>
          <w:lang w:val="en-GB"/>
        </w:rPr>
        <w:t xml:space="preserve"> the </w:t>
      </w:r>
      <w:r w:rsidR="00432987" w:rsidRPr="00E4462A">
        <w:rPr>
          <w:rFonts w:cs="Arial"/>
          <w:lang w:val="en-GB"/>
        </w:rPr>
        <w:t xml:space="preserve">respective </w:t>
      </w:r>
      <w:r w:rsidR="00432987" w:rsidRPr="00E4462A">
        <w:rPr>
          <w:rFonts w:cs="Arial"/>
          <w:vertAlign w:val="superscript"/>
          <w:lang w:val="en-GB"/>
        </w:rPr>
        <w:t>1</w:t>
      </w:r>
      <w:r w:rsidR="00432987" w:rsidRPr="00E4462A">
        <w:rPr>
          <w:rFonts w:cs="Arial"/>
          <w:lang w:val="en-GB"/>
        </w:rPr>
        <w:t xml:space="preserve">H </w:t>
      </w:r>
      <w:r w:rsidRPr="00E4462A">
        <w:rPr>
          <w:rFonts w:cs="Arial"/>
          <w:lang w:val="en-GB"/>
        </w:rPr>
        <w:t xml:space="preserve">NMR </w:t>
      </w:r>
      <w:r w:rsidR="00432987" w:rsidRPr="00E4462A">
        <w:rPr>
          <w:rFonts w:cs="Arial"/>
          <w:lang w:val="en-GB"/>
        </w:rPr>
        <w:t>section integrals</w:t>
      </w:r>
      <w:r w:rsidRPr="00E4462A">
        <w:rPr>
          <w:rFonts w:cs="Arial"/>
          <w:lang w:val="en-GB"/>
        </w:rPr>
        <w:t xml:space="preserve"> for the six samples under study. Generally, the OC</w:t>
      </w:r>
      <w:r w:rsidRPr="00E4462A">
        <w:rPr>
          <w:rFonts w:cs="Arial"/>
          <w:b/>
          <w:u w:val="single"/>
          <w:lang w:val="en-GB"/>
        </w:rPr>
        <w:t>H</w:t>
      </w:r>
      <w:r w:rsidRPr="00E4462A">
        <w:rPr>
          <w:rFonts w:cs="Arial"/>
          <w:lang w:val="en-GB"/>
        </w:rPr>
        <w:t>, XCC</w:t>
      </w:r>
      <w:r w:rsidRPr="00E4462A">
        <w:rPr>
          <w:rFonts w:cs="Arial"/>
          <w:b/>
          <w:u w:val="single"/>
          <w:lang w:val="en-GB"/>
        </w:rPr>
        <w:t>H</w:t>
      </w:r>
      <w:r w:rsidRPr="00E4462A">
        <w:rPr>
          <w:rFonts w:cs="Arial"/>
          <w:lang w:val="en-GB"/>
        </w:rPr>
        <w:t xml:space="preserve"> and CCC</w:t>
      </w:r>
      <w:r w:rsidRPr="00E4462A">
        <w:rPr>
          <w:rFonts w:cs="Arial"/>
          <w:b/>
          <w:u w:val="single"/>
          <w:lang w:val="en-GB"/>
        </w:rPr>
        <w:t>H</w:t>
      </w:r>
      <w:r w:rsidRPr="00E4462A">
        <w:rPr>
          <w:rFonts w:cs="Arial"/>
          <w:lang w:val="en-GB"/>
        </w:rPr>
        <w:t xml:space="preserve"> </w:t>
      </w:r>
      <w:r w:rsidR="0073640C" w:rsidRPr="00E4462A">
        <w:rPr>
          <w:rFonts w:cs="Arial"/>
          <w:lang w:val="en-GB"/>
        </w:rPr>
        <w:t xml:space="preserve">aliphatic </w:t>
      </w:r>
      <w:r w:rsidR="00432987" w:rsidRPr="00E4462A">
        <w:rPr>
          <w:rFonts w:cs="Arial"/>
          <w:lang w:val="en-GB"/>
        </w:rPr>
        <w:t xml:space="preserve">chemical environments </w:t>
      </w:r>
      <w:r w:rsidRPr="00E4462A">
        <w:rPr>
          <w:rFonts w:cs="Arial"/>
          <w:lang w:val="en-GB"/>
        </w:rPr>
        <w:t xml:space="preserve">represented nearly equal contributions to make up </w:t>
      </w:r>
      <w:r w:rsidR="002B7349" w:rsidRPr="00E4462A">
        <w:rPr>
          <w:rFonts w:cs="Arial"/>
          <w:lang w:val="en-GB"/>
        </w:rPr>
        <w:t>approx.</w:t>
      </w:r>
      <w:r w:rsidRPr="00E4462A">
        <w:rPr>
          <w:rFonts w:cs="Arial"/>
          <w:lang w:val="en-GB"/>
        </w:rPr>
        <w:t xml:space="preserve"> 90% of the spectrum with the CCC</w:t>
      </w:r>
      <w:r w:rsidRPr="00E4462A">
        <w:rPr>
          <w:rFonts w:cs="Arial"/>
          <w:b/>
          <w:u w:val="single"/>
          <w:lang w:val="en-GB"/>
        </w:rPr>
        <w:t>H</w:t>
      </w:r>
      <w:r w:rsidRPr="00E4462A">
        <w:rPr>
          <w:rFonts w:cs="Arial"/>
          <w:lang w:val="en-GB"/>
        </w:rPr>
        <w:t xml:space="preserve"> </w:t>
      </w:r>
      <w:r w:rsidR="002B7349" w:rsidRPr="00E4462A">
        <w:rPr>
          <w:rFonts w:cs="Arial"/>
          <w:lang w:val="en-GB"/>
        </w:rPr>
        <w:t xml:space="preserve">units </w:t>
      </w:r>
      <w:r w:rsidRPr="00E4462A">
        <w:rPr>
          <w:rFonts w:cs="Arial"/>
          <w:lang w:val="en-GB"/>
        </w:rPr>
        <w:t xml:space="preserve">consistently exceeding 30%. </w:t>
      </w:r>
      <w:r w:rsidR="00404F01" w:rsidRPr="00E4462A">
        <w:rPr>
          <w:rFonts w:eastAsia="Calibri"/>
          <w:lang w:val="en-US"/>
        </w:rPr>
        <w:t>C</w:t>
      </w:r>
      <w:r w:rsidR="00404F01" w:rsidRPr="00E4462A">
        <w:rPr>
          <w:lang w:val="en-US"/>
        </w:rPr>
        <w:t xml:space="preserve">arboxyl-rich alicyclic molecules (CRAM) and functionalized and pure aliphatics followed the order FCE (L &gt; S) &gt; PAN </w:t>
      </w:r>
      <w:r w:rsidR="00432987" w:rsidRPr="00E4462A">
        <w:rPr>
          <w:rFonts w:eastAsia="Calibri"/>
          <w:lang w:val="en-US"/>
        </w:rPr>
        <w:t>≈</w:t>
      </w:r>
      <w:r w:rsidR="00404F01" w:rsidRPr="00E4462A">
        <w:rPr>
          <w:lang w:val="en-US"/>
        </w:rPr>
        <w:t xml:space="preserve"> OKA. </w:t>
      </w:r>
      <w:r w:rsidR="00404F01" w:rsidRPr="00E4462A">
        <w:rPr>
          <w:rFonts w:eastAsia="Calibri"/>
          <w:lang w:val="en-US"/>
        </w:rPr>
        <w:t xml:space="preserve">Molecular divergence was most noticeable in the chemical environment of unsaturated protons, where the ratio of </w:t>
      </w:r>
      <w:r w:rsidR="00432987" w:rsidRPr="00E4462A">
        <w:rPr>
          <w:rFonts w:eastAsia="Calibri"/>
          <w:lang w:val="en-US"/>
        </w:rPr>
        <w:t>aromatic to olefinic</w:t>
      </w:r>
      <w:r w:rsidR="00404F01" w:rsidRPr="00E4462A">
        <w:rPr>
          <w:rFonts w:eastAsia="Calibri"/>
          <w:lang w:val="en-US"/>
        </w:rPr>
        <w:t xml:space="preserve"> protons declined in the order FCE &gt; PAN </w:t>
      </w:r>
      <w:r w:rsidR="00432987" w:rsidRPr="00E4462A">
        <w:rPr>
          <w:rFonts w:eastAsia="Calibri"/>
          <w:lang w:val="en-US"/>
        </w:rPr>
        <w:t>&gt;</w:t>
      </w:r>
      <w:r w:rsidR="00404F01" w:rsidRPr="00E4462A">
        <w:rPr>
          <w:rFonts w:eastAsia="Calibri"/>
          <w:lang w:val="en-US"/>
        </w:rPr>
        <w:t xml:space="preserve"> OKA.</w:t>
      </w:r>
      <w:r w:rsidR="00CD15C9" w:rsidRPr="00E4462A">
        <w:rPr>
          <w:rFonts w:eastAsia="Calibri"/>
          <w:lang w:val="en-US"/>
        </w:rPr>
        <w:t xml:space="preserve"> </w:t>
      </w:r>
      <w:r w:rsidR="00CD15C9" w:rsidRPr="00E4462A">
        <w:rPr>
          <w:rFonts w:cs="Arial"/>
          <w:lang w:val="en-GB"/>
        </w:rPr>
        <w:t xml:space="preserve">Here, </w:t>
      </w:r>
      <w:r w:rsidRPr="00E4462A">
        <w:rPr>
          <w:rFonts w:cs="Arial"/>
          <w:b/>
          <w:u w:val="single"/>
          <w:lang w:val="en-GB"/>
        </w:rPr>
        <w:t>H</w:t>
      </w:r>
      <w:r w:rsidRPr="00E4462A">
        <w:rPr>
          <w:rFonts w:cs="Arial"/>
          <w:b/>
          <w:u w:val="single"/>
          <w:vertAlign w:val="subscript"/>
          <w:lang w:val="en-GB"/>
        </w:rPr>
        <w:t>ar</w:t>
      </w:r>
      <w:r w:rsidR="00F81BAF" w:rsidRPr="00E4462A">
        <w:rPr>
          <w:rFonts w:cs="Arial"/>
          <w:lang w:val="en-GB"/>
        </w:rPr>
        <w:t xml:space="preserve"> </w:t>
      </w:r>
      <w:r w:rsidR="00404C06" w:rsidRPr="00E4462A">
        <w:rPr>
          <w:rFonts w:cs="Arial"/>
          <w:lang w:val="en-GB"/>
        </w:rPr>
        <w:t>(</w:t>
      </w:r>
      <w:r w:rsidR="00404C06" w:rsidRPr="00E4462A">
        <w:rPr>
          <w:rFonts w:ascii="Symbol" w:eastAsia="Calibri" w:hAnsi="Symbol" w:cs="Calibri"/>
          <w:lang w:val="en-US"/>
        </w:rPr>
        <w:t></w:t>
      </w:r>
      <w:r w:rsidR="00404C06" w:rsidRPr="00E4462A">
        <w:rPr>
          <w:rFonts w:eastAsia="Arial Unicode MS"/>
          <w:vertAlign w:val="subscript"/>
          <w:lang w:val="en-US"/>
        </w:rPr>
        <w:t>H</w:t>
      </w:r>
      <w:r w:rsidR="00404C06" w:rsidRPr="00E4462A">
        <w:rPr>
          <w:rFonts w:cs="Arial"/>
          <w:lang w:val="en-GB"/>
        </w:rPr>
        <w:t xml:space="preserve"> &gt; 7 ppm) </w:t>
      </w:r>
      <w:r w:rsidR="00F81BAF" w:rsidRPr="00E4462A">
        <w:rPr>
          <w:rFonts w:cs="Arial"/>
          <w:lang w:val="en-GB"/>
        </w:rPr>
        <w:t>and C=C</w:t>
      </w:r>
      <w:r w:rsidR="00F81BAF" w:rsidRPr="00E4462A">
        <w:rPr>
          <w:rFonts w:cs="Arial"/>
          <w:b/>
          <w:u w:val="single"/>
          <w:lang w:val="en-GB"/>
        </w:rPr>
        <w:t>H</w:t>
      </w:r>
      <w:r w:rsidR="00404C06" w:rsidRPr="00E4462A">
        <w:rPr>
          <w:rFonts w:cs="Arial"/>
          <w:lang w:val="en-GB"/>
        </w:rPr>
        <w:t xml:space="preserve">, </w:t>
      </w:r>
      <w:r w:rsidRPr="00E4462A">
        <w:rPr>
          <w:rFonts w:cs="Arial"/>
          <w:lang w:val="en-GB"/>
        </w:rPr>
        <w:t>O</w:t>
      </w:r>
      <w:r w:rsidRPr="00E4462A">
        <w:rPr>
          <w:rFonts w:cs="Arial"/>
          <w:vertAlign w:val="subscript"/>
          <w:lang w:val="en-GB"/>
        </w:rPr>
        <w:t>2</w:t>
      </w:r>
      <w:r w:rsidRPr="00E4462A">
        <w:rPr>
          <w:rFonts w:cs="Arial"/>
          <w:lang w:val="en-GB"/>
        </w:rPr>
        <w:t>C</w:t>
      </w:r>
      <w:r w:rsidRPr="00E4462A">
        <w:rPr>
          <w:rFonts w:cs="Arial"/>
          <w:b/>
          <w:u w:val="single"/>
          <w:lang w:val="en-GB"/>
        </w:rPr>
        <w:t>H</w:t>
      </w:r>
      <w:r w:rsidRPr="00E4462A">
        <w:rPr>
          <w:rFonts w:cs="Arial"/>
          <w:lang w:val="en-GB"/>
        </w:rPr>
        <w:t xml:space="preserve"> </w:t>
      </w:r>
      <w:r w:rsidR="00404C06" w:rsidRPr="00E4462A">
        <w:rPr>
          <w:rFonts w:cs="Arial"/>
          <w:lang w:val="en-GB"/>
        </w:rPr>
        <w:t>(</w:t>
      </w:r>
      <w:r w:rsidR="00404C06" w:rsidRPr="00E4462A">
        <w:rPr>
          <w:rFonts w:ascii="Symbol" w:eastAsia="Calibri" w:hAnsi="Symbol" w:cs="Calibri"/>
          <w:lang w:val="en-US"/>
        </w:rPr>
        <w:t></w:t>
      </w:r>
      <w:r w:rsidR="00404C06" w:rsidRPr="00E4462A">
        <w:rPr>
          <w:rFonts w:eastAsia="Arial Unicode MS"/>
          <w:vertAlign w:val="subscript"/>
          <w:lang w:val="en-US"/>
        </w:rPr>
        <w:t>H</w:t>
      </w:r>
      <w:r w:rsidR="00404C06" w:rsidRPr="00E4462A">
        <w:rPr>
          <w:rFonts w:cs="Arial"/>
          <w:lang w:val="en-GB"/>
        </w:rPr>
        <w:t xml:space="preserve"> : 5.3 – 7 ppm) </w:t>
      </w:r>
      <w:r w:rsidRPr="00E4462A">
        <w:rPr>
          <w:rFonts w:cs="Arial"/>
          <w:lang w:val="en-GB"/>
        </w:rPr>
        <w:t xml:space="preserve">contributed </w:t>
      </w:r>
      <w:r w:rsidR="00CD15C9" w:rsidRPr="00E4462A">
        <w:rPr>
          <w:rFonts w:cs="Arial"/>
          <w:lang w:val="en-GB"/>
        </w:rPr>
        <w:t>less than</w:t>
      </w:r>
      <w:r w:rsidRPr="00E4462A">
        <w:rPr>
          <w:rFonts w:cs="Arial"/>
          <w:lang w:val="en-GB"/>
        </w:rPr>
        <w:t xml:space="preserve"> 5% each to the overall</w:t>
      </w:r>
      <w:r w:rsidR="00EB09DA" w:rsidRPr="00E4462A">
        <w:rPr>
          <w:rFonts w:cs="Arial"/>
          <w:lang w:val="en-GB"/>
        </w:rPr>
        <w:t xml:space="preserve"> spectra</w:t>
      </w:r>
      <w:r w:rsidRPr="00E4462A">
        <w:rPr>
          <w:rFonts w:cs="Arial"/>
          <w:lang w:val="en-GB"/>
        </w:rPr>
        <w:t>.</w:t>
      </w:r>
      <w:r w:rsidR="00A13D94" w:rsidRPr="00E4462A">
        <w:rPr>
          <w:rFonts w:cs="Arial"/>
          <w:lang w:val="en-GB"/>
        </w:rPr>
        <w:t xml:space="preserve"> Difference NMR spectra (L-S) obtained for FCE, OKA and PAN wetland SPE-DOM were computed from area-normalized NMR spectra (Fig. S2C, S2D) and indicated congruent behaviour for OKA and PAN SPE-DOM in the purely aliphatic section (</w:t>
      </w:r>
      <w:r w:rsidR="00A13D94" w:rsidRPr="00E4462A">
        <w:rPr>
          <w:rFonts w:ascii="Symbol" w:hAnsi="Symbol" w:cs="Calibri"/>
          <w:lang w:val="en-US"/>
        </w:rPr>
        <w:t></w:t>
      </w:r>
      <w:r w:rsidR="00A13D94" w:rsidRPr="00E4462A">
        <w:rPr>
          <w:rFonts w:eastAsia="Arial Unicode MS"/>
          <w:vertAlign w:val="subscript"/>
          <w:lang w:val="en-US"/>
        </w:rPr>
        <w:t>H</w:t>
      </w:r>
      <w:r w:rsidR="00A13D94" w:rsidRPr="00E4462A">
        <w:rPr>
          <w:rFonts w:cs="Arial"/>
          <w:lang w:val="en-GB"/>
        </w:rPr>
        <w:t xml:space="preserve"> &lt; 3 ppm), with moderate increase of C</w:t>
      </w:r>
      <w:r w:rsidR="00A13D94" w:rsidRPr="00E4462A">
        <w:rPr>
          <w:rFonts w:cs="Arial"/>
          <w:vertAlign w:val="subscript"/>
          <w:lang w:val="en-GB"/>
        </w:rPr>
        <w:t>n</w:t>
      </w:r>
      <w:r w:rsidR="00A13D94" w:rsidRPr="00E4462A">
        <w:rPr>
          <w:rFonts w:cs="Arial"/>
          <w:lang w:val="en-GB"/>
        </w:rPr>
        <w:t>C</w:t>
      </w:r>
      <w:r w:rsidR="00A13D94" w:rsidRPr="00E4462A">
        <w:rPr>
          <w:rFonts w:cs="Arial"/>
          <w:b/>
          <w:u w:val="single"/>
          <w:lang w:val="en-GB"/>
        </w:rPr>
        <w:t>H</w:t>
      </w:r>
      <w:r w:rsidR="00A13D94" w:rsidRPr="00E4462A">
        <w:rPr>
          <w:rFonts w:cs="Arial"/>
          <w:lang w:val="en-GB"/>
        </w:rPr>
        <w:t xml:space="preserve"> groups (n &gt; 1; </w:t>
      </w:r>
      <w:r w:rsidR="00A13D94" w:rsidRPr="00E4462A">
        <w:rPr>
          <w:rFonts w:ascii="Symbol" w:hAnsi="Symbol" w:cs="Calibri"/>
          <w:lang w:val="en-US"/>
        </w:rPr>
        <w:t></w:t>
      </w:r>
      <w:r w:rsidR="00A13D94" w:rsidRPr="00E4462A">
        <w:rPr>
          <w:rFonts w:eastAsia="Arial Unicode MS"/>
          <w:vertAlign w:val="subscript"/>
          <w:lang w:val="en-US"/>
        </w:rPr>
        <w:t>H</w:t>
      </w:r>
      <w:r w:rsidR="00A13D94" w:rsidRPr="00E4462A">
        <w:rPr>
          <w:rFonts w:cs="Arial"/>
          <w:lang w:val="en-GB"/>
        </w:rPr>
        <w:t xml:space="preserve"> &lt; 1.6 ppm). The alterations in FCE-based aliphatics were governed by a marked increase of CRAM whereas the abundance of C</w:t>
      </w:r>
      <w:r w:rsidR="00A13D94" w:rsidRPr="00E4462A">
        <w:rPr>
          <w:rFonts w:cs="Arial"/>
          <w:vertAlign w:val="subscript"/>
          <w:lang w:val="en-GB"/>
        </w:rPr>
        <w:t>n</w:t>
      </w:r>
      <w:r w:rsidR="00A13D94" w:rsidRPr="00E4462A">
        <w:rPr>
          <w:rFonts w:cs="Arial"/>
          <w:lang w:val="en-GB"/>
        </w:rPr>
        <w:t>C</w:t>
      </w:r>
      <w:r w:rsidR="00A13D94" w:rsidRPr="00E4462A">
        <w:rPr>
          <w:rFonts w:cs="Arial"/>
          <w:b/>
          <w:u w:val="single"/>
          <w:lang w:val="en-GB"/>
        </w:rPr>
        <w:t>H</w:t>
      </w:r>
      <w:r w:rsidR="00A13D94" w:rsidRPr="00E4462A">
        <w:rPr>
          <w:rFonts w:cs="Arial"/>
          <w:lang w:val="en-GB"/>
        </w:rPr>
        <w:t xml:space="preserve"> decreased (Fig. S2D). Interestingly, rather concordant decline of methoxy groups (primarily methyl esters) was observed for both FCE and PAN (Fig. S2D). Polycarboxylated and PAH-derived aromatics (</w:t>
      </w:r>
      <w:r w:rsidR="00A13D94" w:rsidRPr="00E4462A">
        <w:rPr>
          <w:rFonts w:ascii="Symbol" w:hAnsi="Symbol" w:cs="Calibri"/>
          <w:lang w:val="en-US"/>
        </w:rPr>
        <w:t></w:t>
      </w:r>
      <w:r w:rsidR="00A13D94" w:rsidRPr="00E4462A">
        <w:rPr>
          <w:rFonts w:eastAsia="Arial Unicode MS"/>
          <w:vertAlign w:val="subscript"/>
          <w:lang w:val="en-US"/>
        </w:rPr>
        <w:t>H</w:t>
      </w:r>
      <w:r w:rsidR="00A13D94" w:rsidRPr="00E4462A">
        <w:rPr>
          <w:rFonts w:cs="Arial"/>
          <w:lang w:val="en-GB"/>
        </w:rPr>
        <w:t xml:space="preserve"> &gt; 8 ppm) were markedly increased in FCE-L as compared with FCE-S (cf. below).</w:t>
      </w:r>
    </w:p>
    <w:p w14:paraId="246CBA31" w14:textId="0652E0E3" w:rsidR="00563445" w:rsidRPr="00E4462A" w:rsidRDefault="00563445" w:rsidP="008B22B1">
      <w:pPr>
        <w:spacing w:line="360" w:lineRule="auto"/>
        <w:ind w:firstLine="708"/>
        <w:jc w:val="both"/>
        <w:rPr>
          <w:rFonts w:cs="Arial"/>
          <w:lang w:val="en-GB"/>
        </w:rPr>
      </w:pPr>
      <w:r w:rsidRPr="00E4462A">
        <w:rPr>
          <w:rFonts w:cs="Arial"/>
          <w:lang w:val="en-GB"/>
        </w:rPr>
        <w:t>For improved assessment of unsaturated protons, the respective chemical shift range was divided into several sections, comprising (</w:t>
      </w:r>
      <w:r w:rsidR="00C71D3C" w:rsidRPr="00E4462A">
        <w:rPr>
          <w:rFonts w:cs="Arial"/>
          <w:lang w:val="en-GB"/>
        </w:rPr>
        <w:t>f</w:t>
      </w:r>
      <w:r w:rsidR="00C71D3C" w:rsidRPr="00E4462A">
        <w:rPr>
          <w:rFonts w:cs="Arial"/>
          <w:vertAlign w:val="subscript"/>
          <w:lang w:val="en-GB"/>
        </w:rPr>
        <w:t>1</w:t>
      </w:r>
      <w:r w:rsidR="002B7349" w:rsidRPr="00E4462A">
        <w:rPr>
          <w:rFonts w:cs="Arial"/>
          <w:lang w:val="en-GB"/>
        </w:rPr>
        <w:t>; letters according to Fig. S1</w:t>
      </w:r>
      <w:r w:rsidRPr="00E4462A">
        <w:rPr>
          <w:rFonts w:cs="Arial"/>
          <w:lang w:val="en-GB"/>
        </w:rPr>
        <w:t>) polycyclic and polycarboxylated aromatics as well as six-membered nitrogen heterocycles (</w:t>
      </w:r>
      <w:r w:rsidRPr="00E4462A">
        <w:rPr>
          <w:rFonts w:ascii="Symbol" w:eastAsia="Calibri" w:hAnsi="Symbol" w:cs="Calibri"/>
          <w:lang w:val="en-US"/>
        </w:rPr>
        <w:t></w:t>
      </w:r>
      <w:r w:rsidRPr="00E4462A">
        <w:rPr>
          <w:rFonts w:eastAsia="Arial Unicode MS"/>
          <w:vertAlign w:val="subscript"/>
          <w:lang w:val="en-US"/>
        </w:rPr>
        <w:t>H</w:t>
      </w:r>
      <w:r w:rsidRPr="00E4462A">
        <w:rPr>
          <w:rFonts w:cs="Arial"/>
          <w:lang w:val="en-GB"/>
        </w:rPr>
        <w:t xml:space="preserve"> &gt; 8 ppm); (</w:t>
      </w:r>
      <w:r w:rsidR="00C71D3C" w:rsidRPr="00E4462A">
        <w:rPr>
          <w:rFonts w:cs="Arial"/>
          <w:lang w:val="en-GB"/>
        </w:rPr>
        <w:t>f</w:t>
      </w:r>
      <w:r w:rsidR="00C71D3C" w:rsidRPr="00E4462A">
        <w:rPr>
          <w:rFonts w:cs="Arial"/>
          <w:vertAlign w:val="subscript"/>
          <w:lang w:val="en-GB"/>
        </w:rPr>
        <w:t>2</w:t>
      </w:r>
      <w:r w:rsidRPr="00E4462A">
        <w:rPr>
          <w:rFonts w:cs="Arial"/>
          <w:lang w:val="en-GB"/>
        </w:rPr>
        <w:t xml:space="preserve">) electron withdrawing substituents (COX; Perdue et al., 2007; </w:t>
      </w:r>
      <w:r w:rsidRPr="00E4462A">
        <w:rPr>
          <w:rFonts w:ascii="Symbol" w:eastAsia="Calibri" w:hAnsi="Symbol" w:cs="Calibri"/>
          <w:lang w:val="en-US"/>
        </w:rPr>
        <w:t></w:t>
      </w:r>
      <w:r w:rsidRPr="00E4462A">
        <w:rPr>
          <w:rFonts w:eastAsia="Arial Unicode MS"/>
          <w:vertAlign w:val="subscript"/>
          <w:lang w:val="en-US"/>
        </w:rPr>
        <w:t>H</w:t>
      </w:r>
      <w:r w:rsidRPr="00E4462A">
        <w:rPr>
          <w:rFonts w:cs="Arial"/>
          <w:lang w:val="en-GB"/>
        </w:rPr>
        <w:t xml:space="preserve"> </w:t>
      </w:r>
      <w:r w:rsidRPr="00E4462A">
        <w:rPr>
          <w:rFonts w:eastAsia="Calibri"/>
          <w:lang w:val="en-US"/>
        </w:rPr>
        <w:t xml:space="preserve"> ≈</w:t>
      </w:r>
      <w:r w:rsidRPr="00E4462A">
        <w:rPr>
          <w:rFonts w:cs="Arial"/>
          <w:lang w:val="en-GB"/>
        </w:rPr>
        <w:t xml:space="preserve"> 7.3 – 8.0 ppm)</w:t>
      </w:r>
      <w:r w:rsidR="008E56F4" w:rsidRPr="00E4462A">
        <w:rPr>
          <w:rFonts w:cs="Arial"/>
          <w:lang w:val="en-GB"/>
        </w:rPr>
        <w:t xml:space="preserve">; </w:t>
      </w:r>
      <w:r w:rsidR="00C71D3C" w:rsidRPr="00E4462A">
        <w:rPr>
          <w:rFonts w:cs="Arial"/>
          <w:lang w:val="en-GB"/>
        </w:rPr>
        <w:t>(f</w:t>
      </w:r>
      <w:r w:rsidR="00C71D3C" w:rsidRPr="00E4462A">
        <w:rPr>
          <w:rFonts w:cs="Arial"/>
          <w:vertAlign w:val="subscript"/>
          <w:lang w:val="en-GB"/>
        </w:rPr>
        <w:t>3</w:t>
      </w:r>
      <w:r w:rsidR="00C71D3C" w:rsidRPr="00E4462A">
        <w:rPr>
          <w:rFonts w:cs="Arial"/>
          <w:lang w:val="en-GB"/>
        </w:rPr>
        <w:t xml:space="preserve">) </w:t>
      </w:r>
      <w:r w:rsidRPr="00E4462A">
        <w:rPr>
          <w:rFonts w:cs="Arial"/>
          <w:lang w:val="en-GB"/>
        </w:rPr>
        <w:t>electron</w:t>
      </w:r>
      <w:r w:rsidR="008E56F4" w:rsidRPr="00E4462A">
        <w:rPr>
          <w:rFonts w:cs="Arial"/>
          <w:lang w:val="en-GB"/>
        </w:rPr>
        <w:t>eu</w:t>
      </w:r>
      <w:r w:rsidR="00042170" w:rsidRPr="00E4462A">
        <w:rPr>
          <w:rFonts w:cs="Arial"/>
          <w:lang w:val="en-GB"/>
        </w:rPr>
        <w:t>tral</w:t>
      </w:r>
      <w:r w:rsidR="008E56F4" w:rsidRPr="00E4462A">
        <w:rPr>
          <w:rFonts w:cs="Arial"/>
          <w:lang w:val="en-GB"/>
        </w:rPr>
        <w:t xml:space="preserve"> substituents (alkyl, H, R; </w:t>
      </w:r>
      <w:r w:rsidR="008E56F4" w:rsidRPr="00E4462A">
        <w:rPr>
          <w:rFonts w:ascii="Symbol" w:eastAsia="Calibri" w:hAnsi="Symbol" w:cs="Calibri"/>
          <w:lang w:val="en-US"/>
        </w:rPr>
        <w:t></w:t>
      </w:r>
      <w:r w:rsidR="008E56F4" w:rsidRPr="00E4462A">
        <w:rPr>
          <w:rFonts w:eastAsia="Arial Unicode MS"/>
          <w:vertAlign w:val="subscript"/>
          <w:lang w:val="en-US"/>
        </w:rPr>
        <w:t>H</w:t>
      </w:r>
      <w:r w:rsidR="008E56F4" w:rsidRPr="00E4462A">
        <w:rPr>
          <w:rFonts w:cs="Arial"/>
          <w:lang w:val="en-GB"/>
        </w:rPr>
        <w:t xml:space="preserve"> </w:t>
      </w:r>
      <w:r w:rsidR="008E56F4" w:rsidRPr="00E4462A">
        <w:rPr>
          <w:rFonts w:eastAsia="Calibri"/>
          <w:lang w:val="en-US"/>
        </w:rPr>
        <w:t xml:space="preserve"> ≈</w:t>
      </w:r>
      <w:r w:rsidR="008E56F4" w:rsidRPr="00E4462A">
        <w:rPr>
          <w:rFonts w:cs="Arial"/>
          <w:lang w:val="en-GB"/>
        </w:rPr>
        <w:t xml:space="preserve"> 7.0 – 7.3 ppm); (</w:t>
      </w:r>
      <w:r w:rsidR="00C71D3C" w:rsidRPr="00E4462A">
        <w:rPr>
          <w:rFonts w:cs="Arial"/>
          <w:lang w:val="en-GB"/>
        </w:rPr>
        <w:t>f</w:t>
      </w:r>
      <w:r w:rsidR="00C71D3C" w:rsidRPr="00E4462A">
        <w:rPr>
          <w:rFonts w:cs="Arial"/>
          <w:vertAlign w:val="subscript"/>
          <w:lang w:val="en-GB"/>
        </w:rPr>
        <w:t>4</w:t>
      </w:r>
      <w:r w:rsidR="008E56F4" w:rsidRPr="00E4462A">
        <w:rPr>
          <w:rFonts w:cs="Arial"/>
          <w:lang w:val="en-GB"/>
        </w:rPr>
        <w:t xml:space="preserve">) electron-donating substituents (OR, OH, phenolics; </w:t>
      </w:r>
      <w:r w:rsidR="008E56F4" w:rsidRPr="00E4462A">
        <w:rPr>
          <w:rFonts w:ascii="Symbol" w:eastAsia="Calibri" w:hAnsi="Symbol" w:cs="Calibri"/>
          <w:lang w:val="en-US"/>
        </w:rPr>
        <w:t></w:t>
      </w:r>
      <w:r w:rsidR="008E56F4" w:rsidRPr="00E4462A">
        <w:rPr>
          <w:rFonts w:eastAsia="Arial Unicode MS"/>
          <w:vertAlign w:val="subscript"/>
          <w:lang w:val="en-US"/>
        </w:rPr>
        <w:t>H</w:t>
      </w:r>
      <w:r w:rsidR="008E56F4" w:rsidRPr="00E4462A">
        <w:rPr>
          <w:rFonts w:cs="Arial"/>
          <w:lang w:val="en-GB"/>
        </w:rPr>
        <w:t xml:space="preserve"> </w:t>
      </w:r>
      <w:r w:rsidR="008E56F4" w:rsidRPr="00E4462A">
        <w:rPr>
          <w:rFonts w:eastAsia="Calibri"/>
          <w:lang w:val="en-US"/>
        </w:rPr>
        <w:t xml:space="preserve"> ≈</w:t>
      </w:r>
      <w:r w:rsidR="008E56F4" w:rsidRPr="00E4462A">
        <w:rPr>
          <w:rFonts w:cs="Arial"/>
          <w:lang w:val="en-GB"/>
        </w:rPr>
        <w:t xml:space="preserve"> 6.5 – 7.0 ppm); (e</w:t>
      </w:r>
      <w:r w:rsidR="00C71D3C" w:rsidRPr="00E4462A">
        <w:rPr>
          <w:rFonts w:cs="Arial"/>
          <w:vertAlign w:val="subscript"/>
          <w:lang w:val="en-GB"/>
        </w:rPr>
        <w:t>1</w:t>
      </w:r>
      <w:r w:rsidR="008E56F4" w:rsidRPr="00E4462A">
        <w:rPr>
          <w:rFonts w:cs="Arial"/>
          <w:lang w:val="en-GB"/>
        </w:rPr>
        <w:t>) polarized and conjugated olefins; (</w:t>
      </w:r>
      <w:r w:rsidR="008E56F4" w:rsidRPr="00E4462A">
        <w:rPr>
          <w:rFonts w:ascii="Symbol" w:eastAsia="Calibri" w:hAnsi="Symbol" w:cs="Calibri"/>
          <w:lang w:val="en-US"/>
        </w:rPr>
        <w:t></w:t>
      </w:r>
      <w:r w:rsidR="008E56F4" w:rsidRPr="00E4462A">
        <w:rPr>
          <w:rFonts w:eastAsia="Arial Unicode MS"/>
          <w:vertAlign w:val="subscript"/>
          <w:lang w:val="en-US"/>
        </w:rPr>
        <w:t>H</w:t>
      </w:r>
      <w:r w:rsidR="008E56F4" w:rsidRPr="00E4462A">
        <w:rPr>
          <w:rFonts w:cs="Arial"/>
          <w:lang w:val="en-GB"/>
        </w:rPr>
        <w:t xml:space="preserve"> </w:t>
      </w:r>
      <w:r w:rsidR="008E56F4" w:rsidRPr="00E4462A">
        <w:rPr>
          <w:rFonts w:eastAsia="Calibri"/>
          <w:lang w:val="en-US"/>
        </w:rPr>
        <w:t xml:space="preserve"> ≈</w:t>
      </w:r>
      <w:r w:rsidR="008E56F4" w:rsidRPr="00E4462A">
        <w:rPr>
          <w:rFonts w:cs="Arial"/>
          <w:lang w:val="en-GB"/>
        </w:rPr>
        <w:t xml:space="preserve"> 5.5 – 6.5 ppm); (</w:t>
      </w:r>
      <w:r w:rsidR="00C71D3C" w:rsidRPr="00E4462A">
        <w:rPr>
          <w:rFonts w:cs="Arial"/>
          <w:lang w:val="en-GB"/>
        </w:rPr>
        <w:t>e</w:t>
      </w:r>
      <w:r w:rsidR="00C71D3C" w:rsidRPr="00E4462A">
        <w:rPr>
          <w:rFonts w:cs="Arial"/>
          <w:vertAlign w:val="subscript"/>
          <w:lang w:val="en-GB"/>
        </w:rPr>
        <w:t>2</w:t>
      </w:r>
      <w:r w:rsidR="008E56F4" w:rsidRPr="00E4462A">
        <w:rPr>
          <w:rFonts w:cs="Arial"/>
          <w:lang w:val="en-GB"/>
        </w:rPr>
        <w:t>) isolated olefins (</w:t>
      </w:r>
      <w:r w:rsidR="008E56F4" w:rsidRPr="00E4462A">
        <w:rPr>
          <w:rFonts w:ascii="Symbol" w:eastAsia="Calibri" w:hAnsi="Symbol" w:cs="Calibri"/>
          <w:lang w:val="en-US"/>
        </w:rPr>
        <w:t></w:t>
      </w:r>
      <w:r w:rsidR="008E56F4" w:rsidRPr="00E4462A">
        <w:rPr>
          <w:rFonts w:eastAsia="Arial Unicode MS"/>
          <w:vertAlign w:val="subscript"/>
          <w:lang w:val="en-US"/>
        </w:rPr>
        <w:t>H</w:t>
      </w:r>
      <w:r w:rsidR="008E56F4" w:rsidRPr="00E4462A">
        <w:rPr>
          <w:rFonts w:cs="Arial"/>
          <w:lang w:val="en-GB"/>
        </w:rPr>
        <w:t xml:space="preserve"> </w:t>
      </w:r>
      <w:r w:rsidR="008E56F4" w:rsidRPr="00E4462A">
        <w:rPr>
          <w:rFonts w:eastAsia="Calibri"/>
          <w:lang w:val="en-US"/>
        </w:rPr>
        <w:t xml:space="preserve"> ≈</w:t>
      </w:r>
      <w:r w:rsidR="008E56F4" w:rsidRPr="00E4462A">
        <w:rPr>
          <w:rFonts w:cs="Arial"/>
          <w:lang w:val="en-GB"/>
        </w:rPr>
        <w:t xml:space="preserve"> 5.0 – 5.5 ppm), this section features </w:t>
      </w:r>
      <w:r w:rsidR="00C71D3C" w:rsidRPr="00E4462A">
        <w:rPr>
          <w:rFonts w:cs="Arial"/>
          <w:lang w:val="en-GB"/>
        </w:rPr>
        <w:t xml:space="preserve">however </w:t>
      </w:r>
      <w:r w:rsidR="008E56F4" w:rsidRPr="00E4462A">
        <w:rPr>
          <w:rFonts w:cs="Arial"/>
          <w:lang w:val="en-GB"/>
        </w:rPr>
        <w:t xml:space="preserve">contributions from anomeric protons and </w:t>
      </w:r>
      <w:r w:rsidR="0073640C" w:rsidRPr="00E4462A">
        <w:rPr>
          <w:rFonts w:cs="Arial"/>
          <w:lang w:val="en-GB"/>
        </w:rPr>
        <w:t xml:space="preserve">certain </w:t>
      </w:r>
      <w:r w:rsidR="008E56F4" w:rsidRPr="00E4462A">
        <w:rPr>
          <w:rFonts w:cs="Arial"/>
          <w:lang w:val="en-GB"/>
        </w:rPr>
        <w:t xml:space="preserve">ester groups (cf. </w:t>
      </w:r>
      <w:r w:rsidR="00292E57" w:rsidRPr="00E4462A">
        <w:rPr>
          <w:rFonts w:cs="Arial"/>
          <w:lang w:val="en-GB"/>
        </w:rPr>
        <w:t>discussion of 2D NMR spectra</w:t>
      </w:r>
      <w:r w:rsidR="008E56F4" w:rsidRPr="00E4462A">
        <w:rPr>
          <w:rFonts w:cs="Arial"/>
          <w:lang w:val="en-GB"/>
        </w:rPr>
        <w:t>). The relative and absolute abundance of electroneutral su</w:t>
      </w:r>
      <w:r w:rsidR="00E950B6" w:rsidRPr="00E4462A">
        <w:rPr>
          <w:rFonts w:cs="Arial"/>
          <w:lang w:val="en-GB"/>
        </w:rPr>
        <w:t>bstituted and phenolic aromatic</w:t>
      </w:r>
      <w:r w:rsidR="008E56F4" w:rsidRPr="00E4462A">
        <w:rPr>
          <w:rFonts w:cs="Arial"/>
          <w:lang w:val="en-GB"/>
        </w:rPr>
        <w:t xml:space="preserve"> </w:t>
      </w:r>
      <w:r w:rsidR="00E91615" w:rsidRPr="00E4462A">
        <w:rPr>
          <w:rFonts w:cs="Arial"/>
          <w:lang w:val="en-GB"/>
        </w:rPr>
        <w:t xml:space="preserve">compounds </w:t>
      </w:r>
      <w:r w:rsidR="00E950B6" w:rsidRPr="00E4462A">
        <w:rPr>
          <w:rFonts w:cs="Arial"/>
          <w:lang w:val="en-GB"/>
        </w:rPr>
        <w:t>w</w:t>
      </w:r>
      <w:r w:rsidR="003526E2" w:rsidRPr="00E4462A">
        <w:rPr>
          <w:rFonts w:cs="Arial"/>
          <w:lang w:val="en-GB"/>
        </w:rPr>
        <w:t>ere</w:t>
      </w:r>
      <w:r w:rsidR="00E950B6" w:rsidRPr="00E4462A">
        <w:rPr>
          <w:rFonts w:cs="Arial"/>
          <w:lang w:val="en-GB"/>
        </w:rPr>
        <w:t xml:space="preserve"> maximal in</w:t>
      </w:r>
      <w:r w:rsidR="0016303F" w:rsidRPr="00E4462A">
        <w:rPr>
          <w:rFonts w:cs="Arial"/>
          <w:lang w:val="en-GB"/>
        </w:rPr>
        <w:t xml:space="preserve"> </w:t>
      </w:r>
      <w:r w:rsidR="008E56F4" w:rsidRPr="00E4462A">
        <w:rPr>
          <w:rFonts w:cs="Arial"/>
          <w:lang w:val="en-GB"/>
        </w:rPr>
        <w:t xml:space="preserve">OKA, and </w:t>
      </w:r>
      <w:r w:rsidR="00C71D3C" w:rsidRPr="00E4462A">
        <w:rPr>
          <w:rFonts w:cs="Arial"/>
          <w:lang w:val="en-GB"/>
        </w:rPr>
        <w:t xml:space="preserve">declined </w:t>
      </w:r>
      <w:r w:rsidR="008E56F4" w:rsidRPr="00E4462A">
        <w:rPr>
          <w:rFonts w:cs="Arial"/>
          <w:lang w:val="en-GB"/>
        </w:rPr>
        <w:t xml:space="preserve">through PAN to FCE. The ratio of conjugated olefins and aromatics was similar in FCE and PAN; however, the abundance of these units was lower by ca. </w:t>
      </w:r>
      <w:r w:rsidR="008E56F4" w:rsidRPr="00E4462A">
        <w:rPr>
          <w:rFonts w:cs="Arial"/>
          <w:lang w:val="en-GB"/>
        </w:rPr>
        <w:lastRenderedPageBreak/>
        <w:t xml:space="preserve">30% in </w:t>
      </w:r>
      <w:r w:rsidR="0016303F" w:rsidRPr="00E4462A">
        <w:rPr>
          <w:rFonts w:cs="Arial"/>
          <w:lang w:val="en-GB"/>
        </w:rPr>
        <w:t xml:space="preserve">FCE. </w:t>
      </w:r>
      <w:r w:rsidR="008E56F4" w:rsidRPr="00E4462A">
        <w:rPr>
          <w:rFonts w:cs="Arial"/>
          <w:lang w:val="en-GB"/>
        </w:rPr>
        <w:t xml:space="preserve">DOM </w:t>
      </w:r>
      <w:r w:rsidR="0016303F" w:rsidRPr="00E4462A">
        <w:rPr>
          <w:rFonts w:cs="Arial"/>
          <w:lang w:val="en-GB"/>
        </w:rPr>
        <w:t xml:space="preserve">from </w:t>
      </w:r>
      <w:r w:rsidR="008E56F4" w:rsidRPr="00E4462A">
        <w:rPr>
          <w:rFonts w:cs="Arial"/>
          <w:lang w:val="en-GB"/>
        </w:rPr>
        <w:t>FCE-L showed higher proportions of isolated olefins and, possibly, anomeric</w:t>
      </w:r>
      <w:r w:rsidR="002B7349" w:rsidRPr="00E4462A">
        <w:rPr>
          <w:rFonts w:cs="Arial"/>
          <w:lang w:val="en-GB"/>
        </w:rPr>
        <w:t xml:space="preserve"> position</w:t>
      </w:r>
      <w:r w:rsidR="008E56F4" w:rsidRPr="00E4462A">
        <w:rPr>
          <w:rFonts w:cs="Arial"/>
          <w:lang w:val="en-GB"/>
        </w:rPr>
        <w:t>s within carbohydrates.</w:t>
      </w:r>
    </w:p>
    <w:p w14:paraId="7A2F9D33" w14:textId="18B5F86B" w:rsidR="00714C16" w:rsidRPr="00E4462A" w:rsidRDefault="00714C16" w:rsidP="008B22B1">
      <w:pPr>
        <w:spacing w:line="360" w:lineRule="auto"/>
        <w:ind w:firstLine="709"/>
        <w:jc w:val="both"/>
        <w:rPr>
          <w:rFonts w:cs="Arial"/>
          <w:lang w:val="en-GB"/>
        </w:rPr>
      </w:pPr>
      <w:r w:rsidRPr="00E4462A">
        <w:rPr>
          <w:rFonts w:cs="Arial"/>
          <w:lang w:val="en-GB"/>
        </w:rPr>
        <w:t xml:space="preserve">Within this, the FCE samples </w:t>
      </w:r>
      <w:r w:rsidR="00770A5E" w:rsidRPr="00E4462A">
        <w:rPr>
          <w:rFonts w:cs="Arial"/>
          <w:lang w:val="en-GB"/>
        </w:rPr>
        <w:t>showed</w:t>
      </w:r>
      <w:r w:rsidRPr="00E4462A">
        <w:rPr>
          <w:rFonts w:cs="Arial"/>
          <w:lang w:val="en-GB"/>
        </w:rPr>
        <w:t xml:space="preserve"> the lowest</w:t>
      </w:r>
      <w:r w:rsidR="00770A5E" w:rsidRPr="00E4462A">
        <w:rPr>
          <w:rFonts w:cs="Arial"/>
          <w:lang w:val="en-GB"/>
        </w:rPr>
        <w:t xml:space="preserve"> proportion of unsaturated protons</w:t>
      </w:r>
      <w:r w:rsidRPr="00E4462A">
        <w:rPr>
          <w:rFonts w:cs="Arial"/>
          <w:lang w:val="en-GB"/>
        </w:rPr>
        <w:t xml:space="preserve">, and among them, the short hydroperiod site FCE-S was </w:t>
      </w:r>
      <w:r w:rsidR="00432987" w:rsidRPr="00E4462A">
        <w:rPr>
          <w:rFonts w:cs="Arial"/>
          <w:lang w:val="en-GB"/>
        </w:rPr>
        <w:t xml:space="preserve">marginally depleted </w:t>
      </w:r>
      <w:r w:rsidR="00CD15C9" w:rsidRPr="00E4462A">
        <w:rPr>
          <w:rFonts w:cs="Arial"/>
          <w:lang w:val="en-GB"/>
        </w:rPr>
        <w:t xml:space="preserve">in abundance of </w:t>
      </w:r>
      <w:r w:rsidR="00B30CAA" w:rsidRPr="00E4462A">
        <w:rPr>
          <w:rFonts w:cs="Arial"/>
          <w:lang w:val="en-GB"/>
        </w:rPr>
        <w:t xml:space="preserve">carboxylated </w:t>
      </w:r>
      <w:r w:rsidR="00CD15C9" w:rsidRPr="00E4462A">
        <w:rPr>
          <w:rFonts w:cs="Arial"/>
          <w:lang w:val="en-GB"/>
        </w:rPr>
        <w:t xml:space="preserve">aromatic protons </w:t>
      </w:r>
      <w:r w:rsidR="00DB4D25" w:rsidRPr="00E4462A">
        <w:rPr>
          <w:rFonts w:cs="Arial"/>
          <w:lang w:val="en-GB"/>
        </w:rPr>
        <w:t>compared to</w:t>
      </w:r>
      <w:r w:rsidRPr="00E4462A">
        <w:rPr>
          <w:rFonts w:cs="Arial"/>
          <w:lang w:val="en-GB"/>
        </w:rPr>
        <w:t xml:space="preserve"> the longer hydroperiod site FCE-L</w:t>
      </w:r>
      <w:r w:rsidR="00B30CAA" w:rsidRPr="00E4462A">
        <w:rPr>
          <w:rFonts w:cs="Arial"/>
          <w:lang w:val="en-GB"/>
        </w:rPr>
        <w:t>,</w:t>
      </w:r>
      <w:r w:rsidR="00E74E72" w:rsidRPr="00E4462A">
        <w:rPr>
          <w:rFonts w:cs="Arial"/>
          <w:lang w:val="en-GB"/>
        </w:rPr>
        <w:t xml:space="preserve"> possibly due to higher light exposure at the short hydroperiod site</w:t>
      </w:r>
      <w:r w:rsidRPr="00E4462A">
        <w:rPr>
          <w:rFonts w:cs="Arial"/>
          <w:lang w:val="en-GB"/>
        </w:rPr>
        <w:t>. Such differences among samples from PAN and OKA were not significant. Ratios of aliphatic to aromatic signals (CCC</w:t>
      </w:r>
      <w:r w:rsidRPr="00E4462A">
        <w:rPr>
          <w:rFonts w:cs="Arial"/>
          <w:b/>
          <w:u w:val="single"/>
          <w:lang w:val="en-GB"/>
        </w:rPr>
        <w:t>H</w:t>
      </w:r>
      <w:r w:rsidR="00D70105" w:rsidRPr="00E4462A">
        <w:rPr>
          <w:rFonts w:cs="Arial"/>
          <w:lang w:val="en-GB"/>
        </w:rPr>
        <w:t>/</w:t>
      </w:r>
      <w:r w:rsidR="00D70105" w:rsidRPr="00E4462A">
        <w:rPr>
          <w:rFonts w:cs="Arial"/>
          <w:b/>
          <w:u w:val="single"/>
          <w:lang w:val="en-GB"/>
        </w:rPr>
        <w:t>H</w:t>
      </w:r>
      <w:r w:rsidR="00D70105" w:rsidRPr="00E4462A">
        <w:rPr>
          <w:rFonts w:cs="Arial"/>
          <w:b/>
          <w:u w:val="single"/>
          <w:vertAlign w:val="subscript"/>
          <w:lang w:val="en-GB"/>
        </w:rPr>
        <w:t>ar</w:t>
      </w:r>
      <w:r w:rsidRPr="00E4462A">
        <w:rPr>
          <w:rFonts w:cs="Arial"/>
          <w:lang w:val="en-GB"/>
        </w:rPr>
        <w:t xml:space="preserve">; </w:t>
      </w:r>
      <w:r w:rsidR="00EB09DA" w:rsidRPr="00E4462A">
        <w:rPr>
          <w:rFonts w:cs="Arial"/>
          <w:lang w:val="en-GB"/>
        </w:rPr>
        <w:t xml:space="preserve">see data in </w:t>
      </w:r>
      <w:r w:rsidRPr="00E4462A">
        <w:rPr>
          <w:rFonts w:cs="Arial"/>
          <w:lang w:val="en-GB"/>
        </w:rPr>
        <w:t xml:space="preserve">Table 2) were also highest for the FCE samples, suggesting enrichment in microbial-derived DOC </w:t>
      </w:r>
      <w:r w:rsidR="005272BF" w:rsidRPr="00E4462A">
        <w:rPr>
          <w:rFonts w:cs="Arial"/>
          <w:lang w:val="en-GB"/>
        </w:rPr>
        <w:t xml:space="preserve">(periphyton sources) </w:t>
      </w:r>
      <w:r w:rsidRPr="00E4462A">
        <w:rPr>
          <w:rFonts w:cs="Arial"/>
          <w:lang w:val="en-GB"/>
        </w:rPr>
        <w:t>compared to the PAN and OKA samples, but also featuring differences between long and short hydroperiod</w:t>
      </w:r>
      <w:r w:rsidR="00E74E72" w:rsidRPr="00E4462A">
        <w:rPr>
          <w:rFonts w:cs="Arial"/>
          <w:lang w:val="en-GB"/>
        </w:rPr>
        <w:t xml:space="preserve"> sites, where </w:t>
      </w:r>
      <w:r w:rsidR="005272BF" w:rsidRPr="00E4462A">
        <w:rPr>
          <w:rFonts w:cs="Arial"/>
          <w:lang w:val="en-GB"/>
        </w:rPr>
        <w:t xml:space="preserve">preservation of aliphatics at long hydroperiod sites seemed to be favoured </w:t>
      </w:r>
      <w:r w:rsidR="006F0C36" w:rsidRPr="00E4462A">
        <w:rPr>
          <w:rFonts w:cs="Arial"/>
          <w:lang w:val="en-GB"/>
        </w:rPr>
        <w:t>for all wetlands</w:t>
      </w:r>
      <w:r w:rsidRPr="00E4462A">
        <w:rPr>
          <w:rFonts w:cs="Arial"/>
          <w:lang w:val="en-GB"/>
        </w:rPr>
        <w:t xml:space="preserve">. These differences may </w:t>
      </w:r>
      <w:r w:rsidR="003F2841" w:rsidRPr="00E4462A">
        <w:rPr>
          <w:rFonts w:cs="Arial"/>
          <w:lang w:val="en-GB"/>
        </w:rPr>
        <w:t>at first conflict with previous reports w</w:t>
      </w:r>
      <w:r w:rsidR="0073640C" w:rsidRPr="00E4462A">
        <w:rPr>
          <w:rFonts w:cs="Arial"/>
          <w:lang w:val="en-GB"/>
        </w:rPr>
        <w:t>h</w:t>
      </w:r>
      <w:r w:rsidR="003F2841" w:rsidRPr="00E4462A">
        <w:rPr>
          <w:rFonts w:cs="Arial"/>
          <w:lang w:val="en-GB"/>
        </w:rPr>
        <w:t>ere</w:t>
      </w:r>
      <w:r w:rsidRPr="00E4462A">
        <w:rPr>
          <w:rFonts w:cs="Arial"/>
          <w:lang w:val="en-GB"/>
        </w:rPr>
        <w:t xml:space="preserve"> larger periphyton contributions to DOC </w:t>
      </w:r>
      <w:r w:rsidR="003F2841" w:rsidRPr="00E4462A">
        <w:rPr>
          <w:rFonts w:cs="Arial"/>
          <w:lang w:val="en-GB"/>
        </w:rPr>
        <w:t>at</w:t>
      </w:r>
      <w:r w:rsidRPr="00E4462A">
        <w:rPr>
          <w:rFonts w:cs="Arial"/>
          <w:lang w:val="en-GB"/>
        </w:rPr>
        <w:t xml:space="preserve"> FCE-S compared to FCE-L</w:t>
      </w:r>
      <w:r w:rsidR="00E20101" w:rsidRPr="00E4462A">
        <w:rPr>
          <w:rFonts w:cs="Arial"/>
          <w:lang w:val="en-GB"/>
        </w:rPr>
        <w:t xml:space="preserve"> (Chen et al., 2013) suggested to be related to drying and re-wetting of periphyton mats during the dry-to-wet transition at FCE-S and higher relative contributions of soil-derived DOM in FCE-L compared to FCE-S. </w:t>
      </w:r>
      <w:r w:rsidR="003F2841" w:rsidRPr="00E4462A">
        <w:rPr>
          <w:rFonts w:cs="Arial"/>
          <w:lang w:val="en-GB"/>
        </w:rPr>
        <w:t>Similarly, i</w:t>
      </w:r>
      <w:r w:rsidR="00E20101" w:rsidRPr="00E4462A">
        <w:rPr>
          <w:rFonts w:cs="Arial"/>
          <w:lang w:val="en-GB"/>
        </w:rPr>
        <w:t xml:space="preserve">n the case of the </w:t>
      </w:r>
      <w:r w:rsidR="003F2841" w:rsidRPr="00E4462A">
        <w:rPr>
          <w:rFonts w:cs="Arial"/>
          <w:lang w:val="en-GB"/>
        </w:rPr>
        <w:t>long and short hydroperiod comparison</w:t>
      </w:r>
      <w:r w:rsidR="00E20101" w:rsidRPr="00E4462A">
        <w:rPr>
          <w:rFonts w:cs="Arial"/>
          <w:lang w:val="en-GB"/>
        </w:rPr>
        <w:t>, the higher CCC</w:t>
      </w:r>
      <w:r w:rsidR="00E20101" w:rsidRPr="00E4462A">
        <w:rPr>
          <w:rFonts w:cs="Arial"/>
          <w:b/>
          <w:u w:val="single"/>
          <w:lang w:val="en-GB"/>
        </w:rPr>
        <w:t>H</w:t>
      </w:r>
      <w:r w:rsidR="00E20101" w:rsidRPr="00E4462A">
        <w:rPr>
          <w:rFonts w:cs="Arial"/>
          <w:lang w:val="en-GB"/>
        </w:rPr>
        <w:t>/</w:t>
      </w:r>
      <w:r w:rsidR="00E20101" w:rsidRPr="00E4462A">
        <w:rPr>
          <w:rFonts w:cs="Arial"/>
          <w:b/>
          <w:u w:val="single"/>
          <w:lang w:val="en-GB"/>
        </w:rPr>
        <w:t>H</w:t>
      </w:r>
      <w:r w:rsidR="00E20101" w:rsidRPr="00E4462A">
        <w:rPr>
          <w:rFonts w:cs="Arial"/>
          <w:b/>
          <w:vertAlign w:val="subscript"/>
          <w:lang w:val="en-GB"/>
        </w:rPr>
        <w:t>ar</w:t>
      </w:r>
      <w:r w:rsidR="00E20101" w:rsidRPr="00E4462A">
        <w:rPr>
          <w:rFonts w:cs="Arial"/>
          <w:lang w:val="en-GB"/>
        </w:rPr>
        <w:t xml:space="preserve"> ratios </w:t>
      </w:r>
      <w:r w:rsidR="003F2841" w:rsidRPr="00E4462A">
        <w:rPr>
          <w:rFonts w:cs="Arial"/>
          <w:lang w:val="en-GB"/>
        </w:rPr>
        <w:t>coincided with</w:t>
      </w:r>
      <w:r w:rsidR="00E20101" w:rsidRPr="00E4462A">
        <w:rPr>
          <w:rFonts w:cs="Arial"/>
          <w:lang w:val="en-GB"/>
        </w:rPr>
        <w:t xml:space="preserve"> higher SUVA values for the </w:t>
      </w:r>
      <w:r w:rsidR="003F2841" w:rsidRPr="00E4462A">
        <w:rPr>
          <w:rFonts w:cs="Arial"/>
          <w:lang w:val="en-GB"/>
        </w:rPr>
        <w:t>DOM-</w:t>
      </w:r>
      <w:r w:rsidR="00E20101" w:rsidRPr="00E4462A">
        <w:rPr>
          <w:rFonts w:cs="Arial"/>
          <w:lang w:val="en-GB"/>
        </w:rPr>
        <w:t>L samples</w:t>
      </w:r>
      <w:r w:rsidR="003F2841" w:rsidRPr="00E4462A">
        <w:rPr>
          <w:rFonts w:cs="Arial"/>
          <w:lang w:val="en-GB"/>
        </w:rPr>
        <w:t>, suggesting a difference in the relative contribution of microbial vs. higher plant/soil derived DOM for CDOM compared to bulk DOM</w:t>
      </w:r>
      <w:r w:rsidR="00962D25" w:rsidRPr="00E4462A">
        <w:rPr>
          <w:rFonts w:cs="Arial"/>
          <w:lang w:val="en-GB"/>
        </w:rPr>
        <w:t>.</w:t>
      </w:r>
      <w:r w:rsidR="003F2841" w:rsidRPr="00E4462A">
        <w:rPr>
          <w:rFonts w:cs="Arial"/>
          <w:lang w:val="en-GB"/>
        </w:rPr>
        <w:t xml:space="preserve"> CDOM, often used as a proxy for DOM only represents a small fraction of the bulk DOC and does not include aliphatic molecules as those determined here. As such, while </w:t>
      </w:r>
      <w:r w:rsidR="00EE66C6" w:rsidRPr="00E4462A">
        <w:rPr>
          <w:rFonts w:cs="Arial"/>
          <w:lang w:val="en-GB"/>
        </w:rPr>
        <w:t xml:space="preserve">being </w:t>
      </w:r>
      <w:r w:rsidR="003F2841" w:rsidRPr="00E4462A">
        <w:rPr>
          <w:rFonts w:cs="Arial"/>
          <w:lang w:val="en-GB"/>
        </w:rPr>
        <w:t xml:space="preserve">a convenient </w:t>
      </w:r>
      <w:r w:rsidR="006F0C36" w:rsidRPr="00E4462A">
        <w:rPr>
          <w:rFonts w:cs="Arial"/>
          <w:lang w:val="en-GB"/>
        </w:rPr>
        <w:t xml:space="preserve">and useful </w:t>
      </w:r>
      <w:r w:rsidR="003F2841" w:rsidRPr="00E4462A">
        <w:rPr>
          <w:rFonts w:cs="Arial"/>
          <w:lang w:val="en-GB"/>
        </w:rPr>
        <w:t>proxy for DOC</w:t>
      </w:r>
      <w:r w:rsidR="006F0C36" w:rsidRPr="00E4462A">
        <w:rPr>
          <w:rFonts w:cs="Arial"/>
          <w:lang w:val="en-GB"/>
        </w:rPr>
        <w:t xml:space="preserve"> sources</w:t>
      </w:r>
      <w:r w:rsidR="003F2841" w:rsidRPr="00E4462A">
        <w:rPr>
          <w:rFonts w:cs="Arial"/>
          <w:lang w:val="en-GB"/>
        </w:rPr>
        <w:t xml:space="preserve">, CDOM-based measurements might be </w:t>
      </w:r>
      <w:r w:rsidR="006F0C36" w:rsidRPr="00E4462A">
        <w:rPr>
          <w:rFonts w:cs="Arial"/>
          <w:lang w:val="en-GB"/>
        </w:rPr>
        <w:t>less</w:t>
      </w:r>
      <w:r w:rsidR="003F2841" w:rsidRPr="00E4462A">
        <w:rPr>
          <w:rFonts w:cs="Arial"/>
          <w:lang w:val="en-GB"/>
        </w:rPr>
        <w:t xml:space="preserve"> sensitive </w:t>
      </w:r>
      <w:r w:rsidR="0073640C" w:rsidRPr="00E4462A">
        <w:rPr>
          <w:rFonts w:cs="Arial"/>
          <w:lang w:val="en-GB"/>
        </w:rPr>
        <w:t>for the evaluation of</w:t>
      </w:r>
      <w:r w:rsidR="00132BC2" w:rsidRPr="00E4462A">
        <w:rPr>
          <w:rFonts w:cs="Arial"/>
          <w:lang w:val="en-GB"/>
        </w:rPr>
        <w:t xml:space="preserve"> </w:t>
      </w:r>
      <w:r w:rsidR="003F2841" w:rsidRPr="00E4462A">
        <w:rPr>
          <w:rFonts w:cs="Arial"/>
          <w:lang w:val="en-GB"/>
        </w:rPr>
        <w:t xml:space="preserve">compositional differences between </w:t>
      </w:r>
      <w:r w:rsidR="0073640C" w:rsidRPr="00E4462A">
        <w:rPr>
          <w:rFonts w:cs="Arial"/>
          <w:lang w:val="en-GB"/>
        </w:rPr>
        <w:t xml:space="preserve">similar </w:t>
      </w:r>
      <w:r w:rsidR="003F2841" w:rsidRPr="00E4462A">
        <w:rPr>
          <w:rFonts w:cs="Arial"/>
          <w:lang w:val="en-GB"/>
        </w:rPr>
        <w:t>samples.</w:t>
      </w:r>
    </w:p>
    <w:p w14:paraId="7FCA17AB" w14:textId="75EDADA3" w:rsidR="002D3DAB" w:rsidRPr="00E4462A" w:rsidRDefault="002D3DAB" w:rsidP="002D3DAB">
      <w:pPr>
        <w:spacing w:line="360" w:lineRule="auto"/>
        <w:ind w:firstLine="709"/>
        <w:jc w:val="both"/>
        <w:rPr>
          <w:lang w:val="en-GB"/>
        </w:rPr>
      </w:pPr>
      <w:r w:rsidRPr="00E4462A">
        <w:rPr>
          <w:lang w:val="en-GB"/>
        </w:rPr>
        <w:t xml:space="preserve">Methoxy NMR resonances for FCE-S compared to FCE-L were not only more abundant, but were also shifted to lower field, indicating increased fractions of aromatic methylethers and methylesters. </w:t>
      </w:r>
      <w:r w:rsidRPr="00E4462A">
        <w:rPr>
          <w:lang w:val="en-US"/>
        </w:rPr>
        <w:t>FCE-S undergoes periodic drying and thus exposure of soil OM (SOM) to atmospheric conditions and intense sunlight exposure of DOM after high evaporation (drying) conditions. As such, much of the SOM can be aerobically oxidized to CO</w:t>
      </w:r>
      <w:r w:rsidRPr="00E4462A">
        <w:rPr>
          <w:vertAlign w:val="subscript"/>
          <w:lang w:val="en-US"/>
        </w:rPr>
        <w:t>2</w:t>
      </w:r>
      <w:r w:rsidRPr="00E4462A">
        <w:rPr>
          <w:lang w:val="en-US"/>
        </w:rPr>
        <w:t xml:space="preserve"> creating marl soils. It is thus plausible that increased aerobic microbial oxidation and photo-exposure at this short hydroperiod site might enhance DOM oxidation compared to the long hydroperiod site (FCE-L). In addition, while </w:t>
      </w:r>
      <w:r w:rsidRPr="00E4462A">
        <w:rPr>
          <w:lang w:val="en-GB"/>
        </w:rPr>
        <w:t xml:space="preserve">OKA showed an appreciable shoulder at </w:t>
      </w:r>
      <w:r w:rsidRPr="00E4462A">
        <w:rPr>
          <w:rFonts w:ascii="Symbol" w:eastAsia="Calibri" w:hAnsi="Symbol" w:cs="Calibri"/>
          <w:lang w:val="en-US"/>
        </w:rPr>
        <w:t></w:t>
      </w:r>
      <w:r w:rsidRPr="00E4462A">
        <w:rPr>
          <w:rFonts w:eastAsia="Arial Unicode MS"/>
          <w:vertAlign w:val="subscript"/>
          <w:lang w:val="en-US"/>
        </w:rPr>
        <w:t>H</w:t>
      </w:r>
      <w:r w:rsidRPr="00E4462A">
        <w:rPr>
          <w:lang w:val="en-GB"/>
        </w:rPr>
        <w:t xml:space="preserve"> &gt; 3.75 ppm indicative of aromatic </w:t>
      </w:r>
      <w:r w:rsidRPr="00E4462A">
        <w:rPr>
          <w:lang w:val="en-GB"/>
        </w:rPr>
        <w:lastRenderedPageBreak/>
        <w:t>methyl esters and ethers at however</w:t>
      </w:r>
      <w:r w:rsidR="00DB4D25" w:rsidRPr="00E4462A">
        <w:rPr>
          <w:lang w:val="en-GB"/>
        </w:rPr>
        <w:t>,</w:t>
      </w:r>
      <w:r w:rsidRPr="00E4462A">
        <w:rPr>
          <w:lang w:val="en-GB"/>
        </w:rPr>
        <w:t xml:space="preserve"> reduced relative abundance, this distinction was absent in both PAN and FCE (Fig. 2).</w:t>
      </w:r>
    </w:p>
    <w:p w14:paraId="35DCE96B" w14:textId="7C7505EB" w:rsidR="002D3DAB" w:rsidRPr="00E4462A" w:rsidRDefault="002D3DAB" w:rsidP="00B55AEE">
      <w:pPr>
        <w:spacing w:line="360" w:lineRule="auto"/>
        <w:ind w:firstLine="708"/>
        <w:jc w:val="both"/>
        <w:rPr>
          <w:rFonts w:eastAsia="Calibri"/>
          <w:lang w:val="en-US"/>
        </w:rPr>
      </w:pPr>
      <w:r w:rsidRPr="00E4462A">
        <w:rPr>
          <w:lang w:val="en-US"/>
        </w:rPr>
        <w:t xml:space="preserve">In addition to the characteristics described above, the FCE samples showed the largest proportion of aromatic compounds substituted with carbonyl derivatives (most likely carboxylic acids; </w:t>
      </w:r>
      <w:r w:rsidRPr="00E4462A">
        <w:rPr>
          <w:rFonts w:ascii="Symbol" w:hAnsi="Symbol"/>
          <w:lang w:val="en-US"/>
        </w:rPr>
        <w:t></w:t>
      </w:r>
      <w:r w:rsidRPr="00E4462A">
        <w:rPr>
          <w:rFonts w:ascii="Symbol" w:hAnsi="Symbol"/>
          <w:vertAlign w:val="subscript"/>
          <w:lang w:val="en-US"/>
        </w:rPr>
        <w:t></w:t>
      </w:r>
      <w:r w:rsidRPr="00E4462A">
        <w:rPr>
          <w:lang w:val="en-US"/>
        </w:rPr>
        <w:t xml:space="preserve"> &gt; 7.3 ppm). This pattern is in accordance with the presence of dissolved black carbon (DBC) at these </w:t>
      </w:r>
      <w:r w:rsidR="00DB4D25" w:rsidRPr="00E4462A">
        <w:rPr>
          <w:lang w:val="en-US"/>
        </w:rPr>
        <w:t xml:space="preserve">wetland </w:t>
      </w:r>
      <w:r w:rsidRPr="00E4462A">
        <w:rPr>
          <w:lang w:val="en-US"/>
        </w:rPr>
        <w:t xml:space="preserve">sites, where the highest abundance was </w:t>
      </w:r>
      <w:r w:rsidR="00DB4D25" w:rsidRPr="00E4462A">
        <w:rPr>
          <w:lang w:val="en-US"/>
        </w:rPr>
        <w:t>reported</w:t>
      </w:r>
      <w:r w:rsidRPr="00E4462A">
        <w:rPr>
          <w:lang w:val="en-US"/>
        </w:rPr>
        <w:t xml:space="preserve"> for the FCE samples (Ding et al., 2014a). The relative</w:t>
      </w:r>
      <w:r w:rsidR="007278C4" w:rsidRPr="00E4462A">
        <w:rPr>
          <w:lang w:val="en-US"/>
        </w:rPr>
        <w:t>ly</w:t>
      </w:r>
      <w:r w:rsidRPr="00E4462A">
        <w:rPr>
          <w:lang w:val="en-US"/>
        </w:rPr>
        <w:t xml:space="preserve"> large fraction of protons with very large downfield chemical shift (</w:t>
      </w:r>
      <w:r w:rsidRPr="00E4462A">
        <w:rPr>
          <w:rFonts w:ascii="Symbol" w:hAnsi="Symbol"/>
          <w:lang w:val="en-US"/>
        </w:rPr>
        <w:t></w:t>
      </w:r>
      <w:r w:rsidRPr="00E4462A">
        <w:rPr>
          <w:rFonts w:ascii="Symbol" w:hAnsi="Symbol"/>
          <w:vertAlign w:val="subscript"/>
          <w:lang w:val="en-US"/>
        </w:rPr>
        <w:t></w:t>
      </w:r>
      <w:r w:rsidRPr="00E4462A">
        <w:rPr>
          <w:lang w:val="en-US"/>
        </w:rPr>
        <w:t xml:space="preserve"> &gt; 8 ppm) suggested the presence of six-membered nitrogen heterocycles as well as that of polycyclic aromatic hydrocarbons (PAH). </w:t>
      </w:r>
      <w:r w:rsidRPr="00E4462A">
        <w:rPr>
          <w:rFonts w:eastAsia="Calibri"/>
          <w:lang w:val="en-US"/>
        </w:rPr>
        <w:t>These units followed the abundance order PAN &gt; OKA &gt; FCE and could be related in part to the presence of dissolved black nitrogen (DBN; Ding et al., 2014b). However, the ratio of olefinic protons (δ</w:t>
      </w:r>
      <w:r w:rsidRPr="00E4462A">
        <w:rPr>
          <w:rFonts w:eastAsia="Calibri"/>
          <w:vertAlign w:val="subscript"/>
          <w:lang w:val="en-US"/>
        </w:rPr>
        <w:t>H</w:t>
      </w:r>
      <w:r w:rsidRPr="00E4462A">
        <w:rPr>
          <w:rFonts w:eastAsia="Calibri"/>
          <w:lang w:val="en-US"/>
        </w:rPr>
        <w:t xml:space="preserve"> ~ 5.2 – 6.8 ppm) to aromatic protons (δ</w:t>
      </w:r>
      <w:r w:rsidRPr="00E4462A">
        <w:rPr>
          <w:rFonts w:eastAsia="Calibri"/>
          <w:vertAlign w:val="subscript"/>
          <w:lang w:val="en-US"/>
        </w:rPr>
        <w:t>H</w:t>
      </w:r>
      <w:r w:rsidRPr="00E4462A">
        <w:rPr>
          <w:rFonts w:eastAsia="Calibri"/>
          <w:lang w:val="en-US"/>
        </w:rPr>
        <w:t xml:space="preserve"> &gt; 6.8 ppm; but see HSQC cross peaks; Fig. </w:t>
      </w:r>
      <w:r w:rsidR="0073640C" w:rsidRPr="00E4462A">
        <w:rPr>
          <w:rFonts w:eastAsia="Calibri"/>
          <w:lang w:val="en-US"/>
        </w:rPr>
        <w:t>3</w:t>
      </w:r>
      <w:r w:rsidRPr="00E4462A">
        <w:rPr>
          <w:rFonts w:eastAsia="Calibri"/>
          <w:lang w:val="en-US"/>
        </w:rPr>
        <w:t>) followed the order FCE &gt; PAN ≈ OKA. The distribution of aromatic protons in OKA indicated elevated abundance of electroneutral (alkyl, H; δ</w:t>
      </w:r>
      <w:r w:rsidRPr="00E4462A">
        <w:rPr>
          <w:rFonts w:eastAsia="Calibri"/>
          <w:vertAlign w:val="subscript"/>
          <w:lang w:val="en-US"/>
        </w:rPr>
        <w:t>H</w:t>
      </w:r>
      <w:r w:rsidRPr="00E4462A">
        <w:rPr>
          <w:rFonts w:eastAsia="Calibri"/>
          <w:lang w:val="en-US"/>
        </w:rPr>
        <w:t xml:space="preserve"> ≈ 7.0 – 7.3 ppm) and electron-donating substituents (OR, OH; δ</w:t>
      </w:r>
      <w:r w:rsidRPr="00E4462A">
        <w:rPr>
          <w:rFonts w:eastAsia="Calibri"/>
          <w:vertAlign w:val="subscript"/>
          <w:lang w:val="en-US"/>
        </w:rPr>
        <w:t>H</w:t>
      </w:r>
      <w:r w:rsidRPr="00E4462A">
        <w:rPr>
          <w:rFonts w:eastAsia="Calibri"/>
          <w:lang w:val="en-US"/>
        </w:rPr>
        <w:t xml:space="preserve"> &lt; 7.0 ppm) in contrast to both FCE and PAN SPE-DOM which showed similar distribution of aromatic protons with larger proportions of electron-withdrawing substituents (COR; δ</w:t>
      </w:r>
      <w:r w:rsidRPr="00E4462A">
        <w:rPr>
          <w:rFonts w:eastAsia="Calibri"/>
          <w:vertAlign w:val="subscript"/>
          <w:lang w:val="en-US"/>
        </w:rPr>
        <w:t>H</w:t>
      </w:r>
      <w:r w:rsidRPr="00E4462A">
        <w:rPr>
          <w:rFonts w:eastAsia="Calibri"/>
          <w:lang w:val="en-US"/>
        </w:rPr>
        <w:t xml:space="preserve"> &gt; 7.3 ppm) at however, different overall abundance (Fig. 2; Table 2). In contrast, the abundance of aromatics with electroneutral (R) or electron-donating substitution (OR) with δ</w:t>
      </w:r>
      <w:r w:rsidRPr="00E4462A">
        <w:rPr>
          <w:rFonts w:eastAsia="Calibri"/>
          <w:vertAlign w:val="subscript"/>
          <w:lang w:val="en-US"/>
        </w:rPr>
        <w:t>H</w:t>
      </w:r>
      <w:r w:rsidRPr="00E4462A">
        <w:rPr>
          <w:rFonts w:eastAsia="Calibri"/>
          <w:lang w:val="en-US"/>
        </w:rPr>
        <w:t xml:space="preserve"> ~ 7.3</w:t>
      </w:r>
      <w:r w:rsidR="0073640C" w:rsidRPr="00E4462A">
        <w:rPr>
          <w:rFonts w:eastAsia="Calibri"/>
          <w:lang w:val="en-US"/>
        </w:rPr>
        <w:t xml:space="preserve"> - </w:t>
      </w:r>
      <w:r w:rsidRPr="00E4462A">
        <w:rPr>
          <w:rFonts w:eastAsia="Calibri"/>
          <w:lang w:val="en-US"/>
        </w:rPr>
        <w:t>6.6 ppm (Perdue et al., 2007) followed the order OKA &gt; PAN &gt;&gt; FCE (Fig. 2), likely reflecting the enhanced relative contributions of higher plant derived DOM (in different degrees of oxidation) for the OKA and P</w:t>
      </w:r>
      <w:r w:rsidR="00DB4D25" w:rsidRPr="00E4462A">
        <w:rPr>
          <w:rFonts w:eastAsia="Calibri"/>
          <w:lang w:val="en-US"/>
        </w:rPr>
        <w:t>AN</w:t>
      </w:r>
      <w:r w:rsidRPr="00E4462A">
        <w:rPr>
          <w:rFonts w:eastAsia="Calibri"/>
          <w:lang w:val="en-US"/>
        </w:rPr>
        <w:t xml:space="preserve"> compared to the FCE. In conclusion, one-dimensional </w:t>
      </w:r>
      <w:r w:rsidRPr="00E4462A">
        <w:rPr>
          <w:rFonts w:eastAsia="Calibri"/>
          <w:vertAlign w:val="superscript"/>
          <w:lang w:val="en-US"/>
        </w:rPr>
        <w:t>1</w:t>
      </w:r>
      <w:r w:rsidRPr="00E4462A">
        <w:rPr>
          <w:rFonts w:eastAsia="Calibri"/>
          <w:lang w:val="en-US"/>
        </w:rPr>
        <w:t xml:space="preserve">H NMR spectra </w:t>
      </w:r>
      <w:r w:rsidR="005115C5" w:rsidRPr="00E4462A">
        <w:rPr>
          <w:rFonts w:eastAsia="Calibri"/>
          <w:lang w:val="en-US"/>
        </w:rPr>
        <w:t>show a</w:t>
      </w:r>
      <w:r w:rsidRPr="00E4462A">
        <w:rPr>
          <w:rFonts w:eastAsia="Calibri"/>
          <w:lang w:val="en-US"/>
        </w:rPr>
        <w:t xml:space="preserve"> considerable molecular divergence of aromatic molecules in the DOM of the three wetlands</w:t>
      </w:r>
      <w:r w:rsidR="005115C5" w:rsidRPr="00E4462A">
        <w:rPr>
          <w:rFonts w:eastAsia="Calibri"/>
          <w:lang w:val="en-US"/>
        </w:rPr>
        <w:t>, where the compositional features seem driven by both source strengths and variations in biogeochemical processing</w:t>
      </w:r>
      <w:r w:rsidRPr="00E4462A">
        <w:rPr>
          <w:rFonts w:eastAsia="Calibri"/>
          <w:lang w:val="en-US"/>
        </w:rPr>
        <w:t xml:space="preserve">. </w:t>
      </w:r>
    </w:p>
    <w:p w14:paraId="0FAE9E99" w14:textId="0F93E184" w:rsidR="00D24F3A" w:rsidRPr="00E4462A" w:rsidRDefault="00714C16" w:rsidP="008B22B1">
      <w:pPr>
        <w:spacing w:line="360" w:lineRule="auto"/>
        <w:ind w:firstLine="709"/>
        <w:jc w:val="both"/>
        <w:rPr>
          <w:lang w:val="en-GB"/>
        </w:rPr>
      </w:pPr>
      <w:r w:rsidRPr="00E4462A">
        <w:rPr>
          <w:lang w:val="en-US"/>
        </w:rPr>
        <w:t>Although some methoxy groups can be formed by reaction of hydroxyl groups in natural DOM and</w:t>
      </w:r>
      <w:r w:rsidR="0059618D" w:rsidRPr="00E4462A">
        <w:rPr>
          <w:lang w:val="en-US"/>
        </w:rPr>
        <w:t xml:space="preserve"> </w:t>
      </w:r>
      <w:r w:rsidRPr="00E4462A">
        <w:rPr>
          <w:lang w:val="en-US"/>
        </w:rPr>
        <w:t>methanol during storage at ambient temperature</w:t>
      </w:r>
      <w:r w:rsidR="00235B6B" w:rsidRPr="00E4462A">
        <w:rPr>
          <w:lang w:val="en-US"/>
        </w:rPr>
        <w:t xml:space="preserve"> (as SPE-DOM</w:t>
      </w:r>
      <w:r w:rsidR="00EE66C6" w:rsidRPr="00E4462A">
        <w:rPr>
          <w:lang w:val="en-US"/>
        </w:rPr>
        <w:t>; Flerus et al., 2011</w:t>
      </w:r>
      <w:r w:rsidR="00235B6B" w:rsidRPr="00E4462A">
        <w:rPr>
          <w:lang w:val="en-US"/>
        </w:rPr>
        <w:t>)</w:t>
      </w:r>
      <w:r w:rsidRPr="00E4462A">
        <w:rPr>
          <w:lang w:val="en-US"/>
        </w:rPr>
        <w:t xml:space="preserve">, the </w:t>
      </w:r>
      <w:r w:rsidRPr="00E4462A">
        <w:rPr>
          <w:b/>
          <w:u w:val="single"/>
          <w:lang w:val="en-US"/>
        </w:rPr>
        <w:t>H</w:t>
      </w:r>
      <w:r w:rsidRPr="00E4462A">
        <w:rPr>
          <w:lang w:val="en-US"/>
        </w:rPr>
        <w:t>CO NMR section integral, which was found typically larger by ~ 2 % for the respective short hydroperiod samples</w:t>
      </w:r>
      <w:r w:rsidR="008130CA" w:rsidRPr="00E4462A">
        <w:rPr>
          <w:lang w:val="en-US"/>
        </w:rPr>
        <w:t xml:space="preserve"> (Table 2)</w:t>
      </w:r>
      <w:r w:rsidRPr="00E4462A">
        <w:rPr>
          <w:lang w:val="en-US"/>
        </w:rPr>
        <w:t>, might reflect larger abundance of native methyl esters at these sites or larger abundance of DOM methanolysis products.</w:t>
      </w:r>
      <w:r w:rsidRPr="00E4462A">
        <w:rPr>
          <w:lang w:val="en-GB"/>
        </w:rPr>
        <w:t xml:space="preserve"> </w:t>
      </w:r>
    </w:p>
    <w:p w14:paraId="39070ACE" w14:textId="77777777" w:rsidR="00042170" w:rsidRPr="00E4462A" w:rsidRDefault="00042170" w:rsidP="008B22B1">
      <w:pPr>
        <w:spacing w:line="360" w:lineRule="auto"/>
        <w:jc w:val="both"/>
        <w:rPr>
          <w:lang w:val="en-GB"/>
        </w:rPr>
      </w:pPr>
    </w:p>
    <w:p w14:paraId="4A4128CB" w14:textId="77777777" w:rsidR="00331408" w:rsidRPr="00E4462A" w:rsidRDefault="00331408" w:rsidP="00331408">
      <w:pPr>
        <w:spacing w:line="360" w:lineRule="auto"/>
        <w:jc w:val="both"/>
        <w:rPr>
          <w:rFonts w:eastAsia="Calibri"/>
          <w:lang w:val="en-US"/>
        </w:rPr>
      </w:pPr>
    </w:p>
    <w:p w14:paraId="40C6BEC0" w14:textId="3C6F33E0" w:rsidR="00EB19A5" w:rsidRPr="00E4462A" w:rsidRDefault="00042170" w:rsidP="00331408">
      <w:pPr>
        <w:spacing w:line="360" w:lineRule="auto"/>
        <w:jc w:val="both"/>
        <w:rPr>
          <w:rFonts w:eastAsia="Calibri"/>
          <w:lang w:val="en-US"/>
        </w:rPr>
      </w:pPr>
      <w:r w:rsidRPr="00E4462A">
        <w:rPr>
          <w:rFonts w:eastAsia="Calibri"/>
          <w:i/>
          <w:vertAlign w:val="superscript"/>
          <w:lang w:val="en-US"/>
        </w:rPr>
        <w:lastRenderedPageBreak/>
        <w:t>13</w:t>
      </w:r>
      <w:r w:rsidRPr="00E4462A">
        <w:rPr>
          <w:rFonts w:eastAsia="Calibri"/>
          <w:i/>
          <w:lang w:val="en-US"/>
        </w:rPr>
        <w:t>C NMR spectra</w:t>
      </w:r>
      <w:r w:rsidR="0059577E" w:rsidRPr="00E4462A">
        <w:rPr>
          <w:rFonts w:eastAsia="Calibri"/>
          <w:i/>
          <w:lang w:val="en-US"/>
        </w:rPr>
        <w:t xml:space="preserve">: </w:t>
      </w:r>
      <w:r w:rsidR="00714C16" w:rsidRPr="00E4462A">
        <w:rPr>
          <w:rFonts w:eastAsia="Calibri"/>
          <w:vertAlign w:val="superscript"/>
          <w:lang w:val="en-US"/>
        </w:rPr>
        <w:t>13</w:t>
      </w:r>
      <w:r w:rsidR="00714C16" w:rsidRPr="00E4462A">
        <w:rPr>
          <w:rFonts w:eastAsia="Calibri"/>
          <w:lang w:val="en-US"/>
        </w:rPr>
        <w:t>C NMR</w:t>
      </w:r>
      <w:r w:rsidR="00F80969" w:rsidRPr="00E4462A">
        <w:rPr>
          <w:rFonts w:eastAsia="Calibri"/>
          <w:lang w:val="en-US"/>
        </w:rPr>
        <w:t xml:space="preserve"> spectra of wetland </w:t>
      </w:r>
      <w:r w:rsidR="00714C16" w:rsidRPr="00E4462A">
        <w:rPr>
          <w:rFonts w:eastAsia="Calibri"/>
          <w:lang w:val="en-US"/>
        </w:rPr>
        <w:t xml:space="preserve">DOM were </w:t>
      </w:r>
      <w:r w:rsidR="006723BB" w:rsidRPr="00E4462A">
        <w:rPr>
          <w:rFonts w:eastAsia="Calibri"/>
          <w:lang w:val="en-US"/>
        </w:rPr>
        <w:t xml:space="preserve">not overly </w:t>
      </w:r>
      <w:r w:rsidR="00714C16" w:rsidRPr="00E4462A">
        <w:rPr>
          <w:rFonts w:eastAsia="Calibri"/>
          <w:lang w:val="en-US"/>
        </w:rPr>
        <w:t>conspicuous, with limited vari</w:t>
      </w:r>
      <w:r w:rsidR="00B12A87" w:rsidRPr="00E4462A">
        <w:rPr>
          <w:rFonts w:eastAsia="Calibri"/>
          <w:lang w:val="en-US"/>
        </w:rPr>
        <w:t>ance of spectra appearance and</w:t>
      </w:r>
      <w:r w:rsidR="00714C16" w:rsidRPr="00E4462A">
        <w:rPr>
          <w:rFonts w:eastAsia="Calibri"/>
          <w:lang w:val="en-US"/>
        </w:rPr>
        <w:t xml:space="preserve"> </w:t>
      </w:r>
      <w:r w:rsidR="00714C16" w:rsidRPr="00E4462A">
        <w:rPr>
          <w:rFonts w:eastAsia="Calibri"/>
          <w:vertAlign w:val="superscript"/>
          <w:lang w:val="en-US"/>
        </w:rPr>
        <w:t>13</w:t>
      </w:r>
      <w:r w:rsidR="00714C16" w:rsidRPr="00E4462A">
        <w:rPr>
          <w:rFonts w:eastAsia="Calibri"/>
          <w:lang w:val="en-US"/>
        </w:rPr>
        <w:t xml:space="preserve">C NMR section integrals (Fig. </w:t>
      </w:r>
      <w:r w:rsidR="00132BC2" w:rsidRPr="00E4462A">
        <w:rPr>
          <w:rFonts w:eastAsia="Calibri"/>
          <w:lang w:val="en-US"/>
        </w:rPr>
        <w:t>S3</w:t>
      </w:r>
      <w:r w:rsidR="00714C16" w:rsidRPr="00E4462A">
        <w:rPr>
          <w:rFonts w:eastAsia="Calibri"/>
          <w:lang w:val="en-US"/>
        </w:rPr>
        <w:t>; Tab</w:t>
      </w:r>
      <w:r w:rsidR="006723BB" w:rsidRPr="00E4462A">
        <w:rPr>
          <w:rFonts w:eastAsia="Calibri"/>
          <w:lang w:val="en-US"/>
        </w:rPr>
        <w:t>le</w:t>
      </w:r>
      <w:r w:rsidR="00714C16" w:rsidRPr="00E4462A">
        <w:rPr>
          <w:rFonts w:eastAsia="Calibri"/>
          <w:lang w:val="en-US"/>
        </w:rPr>
        <w:t xml:space="preserve"> </w:t>
      </w:r>
      <w:r w:rsidR="00A60A5E" w:rsidRPr="00E4462A">
        <w:rPr>
          <w:rFonts w:eastAsia="Calibri"/>
          <w:lang w:val="en-US"/>
        </w:rPr>
        <w:t>S</w:t>
      </w:r>
      <w:r w:rsidR="0073640C" w:rsidRPr="00E4462A">
        <w:rPr>
          <w:rFonts w:eastAsia="Calibri"/>
          <w:lang w:val="en-US"/>
        </w:rPr>
        <w:t>1</w:t>
      </w:r>
      <w:r w:rsidR="00714C16" w:rsidRPr="00E4462A">
        <w:rPr>
          <w:rFonts w:eastAsia="Calibri"/>
          <w:lang w:val="en-US"/>
        </w:rPr>
        <w:t>). The abundance of non-functionalized aliphatics followed the order FCE-</w:t>
      </w:r>
      <w:r w:rsidR="006723BB" w:rsidRPr="00E4462A">
        <w:rPr>
          <w:rFonts w:eastAsia="Calibri"/>
          <w:lang w:val="en-US"/>
        </w:rPr>
        <w:t xml:space="preserve">L </w:t>
      </w:r>
      <w:r w:rsidR="00714C16" w:rsidRPr="00E4462A">
        <w:rPr>
          <w:rFonts w:eastAsia="Calibri"/>
          <w:lang w:val="en-US"/>
        </w:rPr>
        <w:t>&gt; FCE-</w:t>
      </w:r>
      <w:r w:rsidR="006723BB" w:rsidRPr="00E4462A">
        <w:rPr>
          <w:rFonts w:eastAsia="Calibri"/>
          <w:lang w:val="en-US"/>
        </w:rPr>
        <w:t xml:space="preserve">S </w:t>
      </w:r>
      <w:r w:rsidR="00714C16" w:rsidRPr="00E4462A">
        <w:rPr>
          <w:rFonts w:eastAsia="Calibri"/>
          <w:lang w:val="en-US"/>
        </w:rPr>
        <w:t xml:space="preserve">&gt; </w:t>
      </w:r>
      <w:r w:rsidR="006723BB" w:rsidRPr="00E4462A">
        <w:rPr>
          <w:rFonts w:eastAsia="Calibri"/>
          <w:lang w:val="en-US"/>
        </w:rPr>
        <w:t xml:space="preserve">PAN </w:t>
      </w:r>
      <w:r w:rsidR="00714C16" w:rsidRPr="00E4462A">
        <w:rPr>
          <w:rFonts w:eastAsia="Calibri"/>
          <w:lang w:val="en-US"/>
        </w:rPr>
        <w:t xml:space="preserve">&gt; </w:t>
      </w:r>
      <w:r w:rsidR="006723BB" w:rsidRPr="00E4462A">
        <w:rPr>
          <w:rFonts w:eastAsia="Calibri"/>
          <w:lang w:val="en-US"/>
        </w:rPr>
        <w:t>OKA</w:t>
      </w:r>
      <w:r w:rsidR="00714C16" w:rsidRPr="00E4462A">
        <w:rPr>
          <w:rFonts w:eastAsia="Calibri"/>
          <w:lang w:val="en-US"/>
        </w:rPr>
        <w:t>, whereas aromaticity followed a near reverse order FCE-</w:t>
      </w:r>
      <w:r w:rsidR="006723BB" w:rsidRPr="00E4462A">
        <w:rPr>
          <w:rFonts w:eastAsia="Calibri"/>
          <w:lang w:val="en-US"/>
        </w:rPr>
        <w:t xml:space="preserve">L </w:t>
      </w:r>
      <w:r w:rsidR="00714C16" w:rsidRPr="00E4462A">
        <w:rPr>
          <w:rFonts w:eastAsia="Calibri"/>
          <w:lang w:val="en-US"/>
        </w:rPr>
        <w:t>≈ FCE-</w:t>
      </w:r>
      <w:r w:rsidR="006723BB" w:rsidRPr="00E4462A">
        <w:rPr>
          <w:rFonts w:eastAsia="Calibri"/>
          <w:lang w:val="en-US"/>
        </w:rPr>
        <w:t xml:space="preserve">S </w:t>
      </w:r>
      <w:r w:rsidR="00117719" w:rsidRPr="00E4462A">
        <w:rPr>
          <w:rFonts w:eastAsia="Calibri"/>
          <w:lang w:val="en-US"/>
        </w:rPr>
        <w:t xml:space="preserve">&lt; </w:t>
      </w:r>
      <w:r w:rsidR="00714C16" w:rsidRPr="00E4462A">
        <w:rPr>
          <w:rFonts w:eastAsia="Calibri"/>
          <w:lang w:val="en-US"/>
        </w:rPr>
        <w:t xml:space="preserve">OKA ≈ PAN. </w:t>
      </w:r>
      <w:r w:rsidR="00117719" w:rsidRPr="00E4462A">
        <w:rPr>
          <w:rFonts w:eastAsia="Calibri"/>
          <w:lang w:val="en-US"/>
        </w:rPr>
        <w:t xml:space="preserve">DOM </w:t>
      </w:r>
      <w:r w:rsidR="0083354A" w:rsidRPr="00E4462A">
        <w:rPr>
          <w:rFonts w:eastAsia="Calibri"/>
          <w:lang w:val="en-US"/>
        </w:rPr>
        <w:t xml:space="preserve">from </w:t>
      </w:r>
      <w:r w:rsidR="00117719" w:rsidRPr="00E4462A">
        <w:rPr>
          <w:rFonts w:eastAsia="Calibri"/>
          <w:lang w:val="en-US"/>
        </w:rPr>
        <w:t>FCE-</w:t>
      </w:r>
      <w:r w:rsidR="00B5768A" w:rsidRPr="00E4462A">
        <w:rPr>
          <w:rFonts w:eastAsia="Calibri"/>
          <w:lang w:val="en-US"/>
        </w:rPr>
        <w:t>L showed depletion of carbohydr</w:t>
      </w:r>
      <w:r w:rsidR="00117719" w:rsidRPr="00E4462A">
        <w:rPr>
          <w:rFonts w:eastAsia="Calibri"/>
          <w:lang w:val="en-US"/>
        </w:rPr>
        <w:t xml:space="preserve">ates and increase of lipid-like compounds (Table </w:t>
      </w:r>
      <w:r w:rsidR="0073640C" w:rsidRPr="00E4462A">
        <w:rPr>
          <w:rFonts w:eastAsia="Calibri"/>
          <w:lang w:val="en-US"/>
        </w:rPr>
        <w:t>S1</w:t>
      </w:r>
      <w:r w:rsidR="00117719" w:rsidRPr="00E4462A">
        <w:rPr>
          <w:rFonts w:eastAsia="Calibri"/>
          <w:lang w:val="en-US"/>
        </w:rPr>
        <w:t>).</w:t>
      </w:r>
      <w:r w:rsidR="008764C0" w:rsidRPr="00E4462A">
        <w:rPr>
          <w:rFonts w:eastAsia="Calibri"/>
          <w:lang w:val="en-US"/>
        </w:rPr>
        <w:t xml:space="preserve"> </w:t>
      </w:r>
      <w:r w:rsidR="00714C16" w:rsidRPr="00E4462A">
        <w:rPr>
          <w:rFonts w:eastAsia="Calibri"/>
          <w:lang w:val="en-US"/>
        </w:rPr>
        <w:t>The near invariant abundance of carbonyl derivatives (most likel</w:t>
      </w:r>
      <w:r w:rsidR="0083354A" w:rsidRPr="00E4462A">
        <w:rPr>
          <w:rFonts w:eastAsia="Calibri"/>
          <w:lang w:val="en-US"/>
        </w:rPr>
        <w:t xml:space="preserve">y carboxylic acids) for all </w:t>
      </w:r>
      <w:r w:rsidR="00714C16" w:rsidRPr="00E4462A">
        <w:rPr>
          <w:rFonts w:eastAsia="Calibri"/>
          <w:lang w:val="en-US"/>
        </w:rPr>
        <w:t xml:space="preserve">DOM could imply that a sizable proportion of low field </w:t>
      </w:r>
      <w:r w:rsidR="00714C16" w:rsidRPr="00E4462A">
        <w:rPr>
          <w:rFonts w:eastAsia="Calibri"/>
          <w:vertAlign w:val="superscript"/>
          <w:lang w:val="en-US"/>
        </w:rPr>
        <w:t>1</w:t>
      </w:r>
      <w:r w:rsidR="00714C16" w:rsidRPr="00E4462A">
        <w:rPr>
          <w:rFonts w:eastAsia="Calibri"/>
          <w:lang w:val="en-US"/>
        </w:rPr>
        <w:t xml:space="preserve">H NMR resonances </w:t>
      </w:r>
      <w:r w:rsidR="00117719" w:rsidRPr="00E4462A">
        <w:rPr>
          <w:rFonts w:eastAsia="Calibri"/>
          <w:lang w:val="en-US"/>
        </w:rPr>
        <w:t xml:space="preserve">with chemical shift </w:t>
      </w:r>
      <w:r w:rsidR="00714C16" w:rsidRPr="00E4462A">
        <w:rPr>
          <w:rFonts w:eastAsia="Calibri"/>
          <w:lang w:val="en-US"/>
        </w:rPr>
        <w:t>δ</w:t>
      </w:r>
      <w:r w:rsidR="00714C16" w:rsidRPr="00E4462A">
        <w:rPr>
          <w:rFonts w:eastAsia="Calibri"/>
          <w:vertAlign w:val="subscript"/>
          <w:lang w:val="en-US"/>
        </w:rPr>
        <w:t>H</w:t>
      </w:r>
      <w:r w:rsidR="004B67A6" w:rsidRPr="00E4462A">
        <w:rPr>
          <w:rFonts w:eastAsia="Calibri"/>
          <w:lang w:val="en-US"/>
        </w:rPr>
        <w:t xml:space="preserve"> </w:t>
      </w:r>
      <w:r w:rsidR="00117719" w:rsidRPr="00E4462A">
        <w:rPr>
          <w:rFonts w:eastAsia="Calibri"/>
          <w:lang w:val="en-US"/>
        </w:rPr>
        <w:t>&gt;</w:t>
      </w:r>
      <w:r w:rsidR="004B67A6" w:rsidRPr="00E4462A">
        <w:rPr>
          <w:rFonts w:eastAsia="Calibri"/>
          <w:lang w:val="en-US"/>
        </w:rPr>
        <w:t xml:space="preserve"> 7.3 ppm</w:t>
      </w:r>
      <w:r w:rsidR="007C453C" w:rsidRPr="00E4462A">
        <w:rPr>
          <w:rFonts w:eastAsia="Calibri"/>
          <w:lang w:val="en-US"/>
        </w:rPr>
        <w:t>,</w:t>
      </w:r>
      <w:r w:rsidR="004B67A6" w:rsidRPr="00E4462A">
        <w:rPr>
          <w:rFonts w:eastAsia="Calibri"/>
          <w:lang w:val="en-US"/>
        </w:rPr>
        <w:t xml:space="preserve"> </w:t>
      </w:r>
      <w:r w:rsidR="00117719" w:rsidRPr="00E4462A">
        <w:rPr>
          <w:rFonts w:eastAsia="Calibri"/>
          <w:lang w:val="en-US"/>
        </w:rPr>
        <w:t xml:space="preserve">which were more abundant </w:t>
      </w:r>
      <w:r w:rsidR="004B67A6" w:rsidRPr="00E4462A">
        <w:rPr>
          <w:rFonts w:eastAsia="Calibri"/>
          <w:lang w:val="en-US"/>
        </w:rPr>
        <w:t xml:space="preserve">in PAN </w:t>
      </w:r>
      <w:r w:rsidR="00117719" w:rsidRPr="00E4462A">
        <w:rPr>
          <w:rFonts w:eastAsia="Calibri"/>
          <w:lang w:val="en-US"/>
        </w:rPr>
        <w:t xml:space="preserve">than in the others (Fig. </w:t>
      </w:r>
      <w:r w:rsidR="006723BB" w:rsidRPr="00E4462A">
        <w:rPr>
          <w:rFonts w:eastAsia="Calibri"/>
          <w:lang w:val="en-US"/>
        </w:rPr>
        <w:t>2</w:t>
      </w:r>
      <w:r w:rsidR="00117719" w:rsidRPr="00E4462A">
        <w:rPr>
          <w:rFonts w:eastAsia="Calibri"/>
          <w:lang w:val="en-US"/>
        </w:rPr>
        <w:t xml:space="preserve">; see also aromatic TOCSY cross peaks, Fig. </w:t>
      </w:r>
      <w:r w:rsidR="0073640C" w:rsidRPr="00E4462A">
        <w:rPr>
          <w:rFonts w:eastAsia="Calibri"/>
          <w:lang w:val="en-US"/>
        </w:rPr>
        <w:t>3</w:t>
      </w:r>
      <w:r w:rsidR="00117719" w:rsidRPr="00E4462A">
        <w:rPr>
          <w:rFonts w:eastAsia="Calibri"/>
          <w:lang w:val="en-US"/>
        </w:rPr>
        <w:t>)</w:t>
      </w:r>
      <w:r w:rsidR="007C453C" w:rsidRPr="00E4462A">
        <w:rPr>
          <w:rFonts w:eastAsia="Calibri"/>
          <w:lang w:val="en-US"/>
        </w:rPr>
        <w:t>,</w:t>
      </w:r>
      <w:r w:rsidR="00117719" w:rsidRPr="00E4462A">
        <w:rPr>
          <w:rFonts w:eastAsia="Calibri"/>
          <w:lang w:val="en-US"/>
        </w:rPr>
        <w:t xml:space="preserve"> </w:t>
      </w:r>
      <w:r w:rsidR="00714C16" w:rsidRPr="00E4462A">
        <w:rPr>
          <w:rFonts w:eastAsia="Calibri"/>
          <w:lang w:val="en-US"/>
        </w:rPr>
        <w:t xml:space="preserve">actually </w:t>
      </w:r>
      <w:r w:rsidR="006723BB" w:rsidRPr="00E4462A">
        <w:rPr>
          <w:rFonts w:eastAsia="Calibri"/>
          <w:lang w:val="en-US"/>
        </w:rPr>
        <w:t xml:space="preserve">represented </w:t>
      </w:r>
      <w:r w:rsidR="00714C16" w:rsidRPr="00E4462A">
        <w:rPr>
          <w:rFonts w:eastAsia="Calibri"/>
          <w:lang w:val="en-US"/>
        </w:rPr>
        <w:t xml:space="preserve">(substituted) PAH </w:t>
      </w:r>
      <w:r w:rsidR="00B5768A" w:rsidRPr="00E4462A">
        <w:rPr>
          <w:rFonts w:eastAsia="Calibri"/>
          <w:lang w:val="en-US"/>
        </w:rPr>
        <w:t>(with δ</w:t>
      </w:r>
      <w:r w:rsidR="00B5768A" w:rsidRPr="00E4462A">
        <w:rPr>
          <w:rFonts w:eastAsia="Calibri"/>
          <w:vertAlign w:val="subscript"/>
          <w:lang w:val="en-US"/>
        </w:rPr>
        <w:t>C</w:t>
      </w:r>
      <w:r w:rsidR="00B5768A" w:rsidRPr="00E4462A">
        <w:rPr>
          <w:rFonts w:eastAsia="Calibri"/>
          <w:lang w:val="en-US"/>
        </w:rPr>
        <w:t xml:space="preserve"> &lt; 140 ppm; Hertkorn et al., 2013) </w:t>
      </w:r>
      <w:r w:rsidR="00714C16" w:rsidRPr="00E4462A">
        <w:rPr>
          <w:rFonts w:eastAsia="Calibri"/>
          <w:lang w:val="en-US"/>
        </w:rPr>
        <w:t>rather than (poly)carboxylic aromatics (</w:t>
      </w:r>
      <w:r w:rsidR="00B5768A" w:rsidRPr="00E4462A">
        <w:rPr>
          <w:rFonts w:eastAsia="Calibri"/>
          <w:lang w:val="en-US"/>
        </w:rPr>
        <w:t>with δ</w:t>
      </w:r>
      <w:r w:rsidR="00B5768A" w:rsidRPr="00E4462A">
        <w:rPr>
          <w:rFonts w:eastAsia="Calibri"/>
          <w:vertAlign w:val="subscript"/>
          <w:lang w:val="en-US"/>
        </w:rPr>
        <w:t>C</w:t>
      </w:r>
      <w:r w:rsidR="00B5768A" w:rsidRPr="00E4462A">
        <w:rPr>
          <w:rFonts w:eastAsia="Calibri"/>
          <w:lang w:val="en-US"/>
        </w:rPr>
        <w:t xml:space="preserve"> ~ 167 – 187 ppm; </w:t>
      </w:r>
      <w:r w:rsidR="00714C16" w:rsidRPr="00E4462A">
        <w:rPr>
          <w:rFonts w:eastAsia="Calibri"/>
          <w:lang w:val="en-US"/>
        </w:rPr>
        <w:t>Fig. 2; Tab</w:t>
      </w:r>
      <w:r w:rsidR="00132BC2" w:rsidRPr="00E4462A">
        <w:rPr>
          <w:rFonts w:eastAsia="Calibri"/>
          <w:lang w:val="en-US"/>
        </w:rPr>
        <w:t xml:space="preserve">le </w:t>
      </w:r>
      <w:r w:rsidR="00714C16" w:rsidRPr="00E4462A">
        <w:rPr>
          <w:rFonts w:eastAsia="Calibri"/>
          <w:lang w:val="en-US"/>
        </w:rPr>
        <w:t xml:space="preserve">2; Fig. </w:t>
      </w:r>
      <w:r w:rsidR="0073640C" w:rsidRPr="00E4462A">
        <w:rPr>
          <w:rFonts w:eastAsia="Calibri"/>
          <w:lang w:val="en-US"/>
        </w:rPr>
        <w:t>S2</w:t>
      </w:r>
      <w:r w:rsidR="00714C16" w:rsidRPr="00E4462A">
        <w:rPr>
          <w:rFonts w:eastAsia="Calibri"/>
          <w:lang w:val="en-US"/>
        </w:rPr>
        <w:t xml:space="preserve">; Table </w:t>
      </w:r>
      <w:r w:rsidR="00A60A5E" w:rsidRPr="00E4462A">
        <w:rPr>
          <w:rFonts w:eastAsia="Calibri"/>
          <w:lang w:val="en-US"/>
        </w:rPr>
        <w:t>S</w:t>
      </w:r>
      <w:r w:rsidR="0073640C" w:rsidRPr="00E4462A">
        <w:rPr>
          <w:rFonts w:eastAsia="Calibri"/>
          <w:lang w:val="en-US"/>
        </w:rPr>
        <w:t>1</w:t>
      </w:r>
      <w:r w:rsidR="00714C16" w:rsidRPr="00E4462A">
        <w:rPr>
          <w:rFonts w:eastAsia="Calibri"/>
          <w:lang w:val="en-US"/>
        </w:rPr>
        <w:t xml:space="preserve">). Computed average H/C ratios from a basic reverse </w:t>
      </w:r>
      <w:r w:rsidR="00714C16" w:rsidRPr="00E4462A">
        <w:rPr>
          <w:rFonts w:eastAsia="Calibri"/>
          <w:vertAlign w:val="superscript"/>
          <w:lang w:val="en-US"/>
        </w:rPr>
        <w:t>13</w:t>
      </w:r>
      <w:r w:rsidR="00714C16" w:rsidRPr="00E4462A">
        <w:rPr>
          <w:rFonts w:eastAsia="Calibri"/>
          <w:lang w:val="en-US"/>
        </w:rPr>
        <w:t>C NMR based mixing model ranged in the order FCE-L &gt; FCE-S &gt; PAN-S ≈ OKA-L (</w:t>
      </w:r>
      <w:r w:rsidR="00714C16" w:rsidRPr="00E4462A">
        <w:rPr>
          <w:rFonts w:eastAsia="Calibri"/>
          <w:vertAlign w:val="superscript"/>
          <w:lang w:val="en-US"/>
        </w:rPr>
        <w:t>13</w:t>
      </w:r>
      <w:r w:rsidR="00714C16" w:rsidRPr="00E4462A">
        <w:rPr>
          <w:rFonts w:eastAsia="Calibri"/>
          <w:lang w:val="en-US"/>
        </w:rPr>
        <w:t>C NMR spectra of PAN-L and OKA-S were not acquired) and primarily reflected variable content of aliphatic structures (δ</w:t>
      </w:r>
      <w:r w:rsidR="00714C16" w:rsidRPr="00E4462A">
        <w:rPr>
          <w:rFonts w:eastAsia="Calibri"/>
          <w:vertAlign w:val="subscript"/>
          <w:lang w:val="en-US"/>
        </w:rPr>
        <w:t>C</w:t>
      </w:r>
      <w:r w:rsidR="00714C16" w:rsidRPr="00E4462A">
        <w:rPr>
          <w:rFonts w:eastAsia="Calibri"/>
          <w:lang w:val="en-US"/>
        </w:rPr>
        <w:t xml:space="preserve"> ~ 0 – 47 ppm). The computed O/C ratio was near equal for the </w:t>
      </w:r>
      <w:r w:rsidR="006723BB" w:rsidRPr="00E4462A">
        <w:rPr>
          <w:rFonts w:eastAsia="Calibri"/>
          <w:lang w:val="en-US"/>
        </w:rPr>
        <w:t xml:space="preserve">OKA, PAN and FCE-S </w:t>
      </w:r>
      <w:r w:rsidR="00714C16" w:rsidRPr="00E4462A">
        <w:rPr>
          <w:rFonts w:eastAsia="Calibri"/>
          <w:lang w:val="en-US"/>
        </w:rPr>
        <w:t xml:space="preserve">samples, whereas that of </w:t>
      </w:r>
      <w:r w:rsidR="000A6970" w:rsidRPr="00E4462A">
        <w:rPr>
          <w:rFonts w:eastAsia="Calibri"/>
          <w:lang w:val="en-US"/>
        </w:rPr>
        <w:t>FCE</w:t>
      </w:r>
      <w:r w:rsidR="00714C16" w:rsidRPr="00E4462A">
        <w:rPr>
          <w:rFonts w:eastAsia="Calibri"/>
          <w:lang w:val="en-US"/>
        </w:rPr>
        <w:t xml:space="preserve">-L was lower by ~ 0.07 units. Here, a reduced </w:t>
      </w:r>
      <w:r w:rsidR="000D56E2" w:rsidRPr="00E4462A">
        <w:rPr>
          <w:rFonts w:eastAsia="Calibri"/>
          <w:lang w:val="en-US"/>
        </w:rPr>
        <w:t>abundance</w:t>
      </w:r>
      <w:r w:rsidR="00714C16" w:rsidRPr="00E4462A">
        <w:rPr>
          <w:rFonts w:eastAsia="Calibri"/>
          <w:lang w:val="en-US"/>
        </w:rPr>
        <w:t xml:space="preserve"> of oxidized aliphatic units (</w:t>
      </w:r>
      <w:r w:rsidR="00714C16" w:rsidRPr="00E4462A">
        <w:rPr>
          <w:rFonts w:eastAsia="Calibri"/>
          <w:b/>
          <w:u w:val="single"/>
          <w:lang w:val="en-US"/>
        </w:rPr>
        <w:t>H</w:t>
      </w:r>
      <w:r w:rsidR="00714C16" w:rsidRPr="00E4462A">
        <w:rPr>
          <w:rFonts w:eastAsia="Calibri"/>
          <w:lang w:val="en-US"/>
        </w:rPr>
        <w:t>C</w:t>
      </w:r>
      <w:r w:rsidR="00714C16" w:rsidRPr="00E4462A">
        <w:rPr>
          <w:rFonts w:eastAsia="Calibri"/>
          <w:vertAlign w:val="subscript"/>
          <w:lang w:val="en-US"/>
        </w:rPr>
        <w:t>al</w:t>
      </w:r>
      <w:r w:rsidR="00714C16" w:rsidRPr="00E4462A">
        <w:rPr>
          <w:rFonts w:eastAsia="Calibri"/>
          <w:lang w:val="en-US"/>
        </w:rPr>
        <w:t>O) was primarily responsible, because phenolic and carboxylic content followed the order OKA-L ≈ PAN-S &gt; FCE.</w:t>
      </w:r>
      <w:r w:rsidR="00005B77" w:rsidRPr="00E4462A">
        <w:rPr>
          <w:rFonts w:eastAsia="Calibri"/>
          <w:lang w:val="en-US"/>
        </w:rPr>
        <w:t xml:space="preserve"> </w:t>
      </w:r>
    </w:p>
    <w:p w14:paraId="23909EC6" w14:textId="77777777" w:rsidR="00042170" w:rsidRPr="00E4462A" w:rsidRDefault="00042170" w:rsidP="0099033B">
      <w:pPr>
        <w:spacing w:line="360" w:lineRule="auto"/>
        <w:jc w:val="both"/>
        <w:rPr>
          <w:rFonts w:eastAsia="Calibri"/>
          <w:b/>
          <w:i/>
          <w:lang w:val="en-US"/>
        </w:rPr>
      </w:pPr>
    </w:p>
    <w:p w14:paraId="7E27CF4B" w14:textId="6AC89B10" w:rsidR="00F339A3" w:rsidRPr="00E4462A" w:rsidRDefault="00042170" w:rsidP="0059577E">
      <w:pPr>
        <w:spacing w:line="360" w:lineRule="auto"/>
        <w:jc w:val="both"/>
        <w:rPr>
          <w:rFonts w:eastAsia="Calibri"/>
          <w:i/>
          <w:lang w:val="en-US"/>
        </w:rPr>
      </w:pPr>
      <w:r w:rsidRPr="00E4462A">
        <w:rPr>
          <w:rFonts w:eastAsia="Calibri"/>
          <w:i/>
          <w:lang w:val="en-US"/>
        </w:rPr>
        <w:t>2D NMR spectra</w:t>
      </w:r>
      <w:r w:rsidR="0059577E" w:rsidRPr="00E4462A">
        <w:rPr>
          <w:rFonts w:eastAsia="Calibri"/>
          <w:i/>
          <w:lang w:val="en-US"/>
        </w:rPr>
        <w:t xml:space="preserve">: </w:t>
      </w:r>
      <w:r w:rsidR="0059577E" w:rsidRPr="00E4462A">
        <w:rPr>
          <w:rFonts w:eastAsia="Calibri"/>
          <w:lang w:val="en-US"/>
        </w:rPr>
        <w:t xml:space="preserve">The </w:t>
      </w:r>
      <w:r w:rsidR="00714C16" w:rsidRPr="00E4462A">
        <w:rPr>
          <w:rFonts w:eastAsia="Calibri"/>
          <w:lang w:val="en-US"/>
        </w:rPr>
        <w:t xml:space="preserve">2D NMR spectra provided remarkable richness in detail and refined preliminary assignment-proposals from the one-dimensional </w:t>
      </w:r>
      <w:r w:rsidR="00714C16" w:rsidRPr="00E4462A">
        <w:rPr>
          <w:rFonts w:eastAsia="Calibri"/>
          <w:vertAlign w:val="superscript"/>
          <w:lang w:val="en-US"/>
        </w:rPr>
        <w:t>1</w:t>
      </w:r>
      <w:r w:rsidR="00714C16" w:rsidRPr="00E4462A">
        <w:rPr>
          <w:rFonts w:eastAsia="Calibri"/>
          <w:lang w:val="en-US"/>
        </w:rPr>
        <w:t xml:space="preserve">H and </w:t>
      </w:r>
      <w:r w:rsidR="00714C16" w:rsidRPr="00E4462A">
        <w:rPr>
          <w:rFonts w:eastAsia="Calibri"/>
          <w:vertAlign w:val="superscript"/>
          <w:lang w:val="en-US"/>
        </w:rPr>
        <w:t>13</w:t>
      </w:r>
      <w:r w:rsidR="00714C16" w:rsidRPr="00E4462A">
        <w:rPr>
          <w:rFonts w:eastAsia="Calibri"/>
          <w:lang w:val="en-US"/>
        </w:rPr>
        <w:t xml:space="preserve">C NMR spectra. </w:t>
      </w:r>
      <w:r w:rsidR="00F339A3" w:rsidRPr="00E4462A">
        <w:rPr>
          <w:lang w:val="en-GB"/>
        </w:rPr>
        <w:t xml:space="preserve">TOCSY NMR spectra (Fig. </w:t>
      </w:r>
      <w:r w:rsidR="0073640C" w:rsidRPr="00E4462A">
        <w:rPr>
          <w:lang w:val="en-GB"/>
        </w:rPr>
        <w:t>3</w:t>
      </w:r>
      <w:r w:rsidR="00F339A3" w:rsidRPr="00E4462A">
        <w:rPr>
          <w:lang w:val="en-GB"/>
        </w:rPr>
        <w:t>) revealed a wide range of methyl groups (</w:t>
      </w:r>
      <w:r w:rsidR="00F339A3" w:rsidRPr="00E4462A">
        <w:rPr>
          <w:b/>
          <w:u w:val="single"/>
          <w:lang w:val="en-GB"/>
        </w:rPr>
        <w:t>H</w:t>
      </w:r>
      <w:r w:rsidR="00F339A3" w:rsidRPr="00E4462A">
        <w:rPr>
          <w:vertAlign w:val="subscript"/>
          <w:lang w:val="en-GB"/>
        </w:rPr>
        <w:t>3</w:t>
      </w:r>
      <w:r w:rsidR="00F339A3" w:rsidRPr="00E4462A">
        <w:rPr>
          <w:lang w:val="en-GB"/>
        </w:rPr>
        <w:t>C-C</w:t>
      </w:r>
      <w:r w:rsidR="00F339A3" w:rsidRPr="00E4462A">
        <w:rPr>
          <w:b/>
          <w:u w:val="single"/>
          <w:lang w:val="en-GB"/>
        </w:rPr>
        <w:t>H</w:t>
      </w:r>
      <w:r w:rsidR="00F339A3" w:rsidRPr="00E4462A">
        <w:rPr>
          <w:lang w:val="en-GB"/>
        </w:rPr>
        <w:t>-X; X: C,</w:t>
      </w:r>
      <w:r w:rsidR="000D56E2" w:rsidRPr="00E4462A">
        <w:rPr>
          <w:lang w:val="en-GB"/>
        </w:rPr>
        <w:t xml:space="preserve"> </w:t>
      </w:r>
      <w:r w:rsidR="00F339A3" w:rsidRPr="00E4462A">
        <w:rPr>
          <w:lang w:val="en-GB"/>
        </w:rPr>
        <w:t>O</w:t>
      </w:r>
      <w:r w:rsidR="00537FEB" w:rsidRPr="00E4462A">
        <w:rPr>
          <w:lang w:val="en-GB"/>
        </w:rPr>
        <w:t xml:space="preserve">; Fig. </w:t>
      </w:r>
      <w:r w:rsidR="0073640C" w:rsidRPr="00E4462A">
        <w:rPr>
          <w:lang w:val="en-GB"/>
        </w:rPr>
        <w:t>3A</w:t>
      </w:r>
      <w:r w:rsidR="00537FEB" w:rsidRPr="00E4462A">
        <w:rPr>
          <w:lang w:val="en-GB"/>
        </w:rPr>
        <w:t>, section a</w:t>
      </w:r>
      <w:r w:rsidR="00F339A3" w:rsidRPr="00E4462A">
        <w:rPr>
          <w:lang w:val="en-GB"/>
        </w:rPr>
        <w:t>)</w:t>
      </w:r>
      <w:r w:rsidR="00EA1358" w:rsidRPr="00E4462A">
        <w:rPr>
          <w:lang w:val="en-GB"/>
        </w:rPr>
        <w:t>;</w:t>
      </w:r>
      <w:r w:rsidR="00F339A3" w:rsidRPr="00E4462A">
        <w:rPr>
          <w:lang w:val="en-GB"/>
        </w:rPr>
        <w:t xml:space="preserve"> a contiguous</w:t>
      </w:r>
      <w:r w:rsidR="00B5768A" w:rsidRPr="00E4462A">
        <w:rPr>
          <w:lang w:val="en-GB"/>
        </w:rPr>
        <w:t>, ill resolved</w:t>
      </w:r>
      <w:r w:rsidR="00F339A3" w:rsidRPr="00E4462A">
        <w:rPr>
          <w:lang w:val="en-GB"/>
        </w:rPr>
        <w:t xml:space="preserve"> cross peak </w:t>
      </w:r>
      <w:r w:rsidR="000A6970" w:rsidRPr="00E4462A">
        <w:rPr>
          <w:lang w:val="en-GB"/>
        </w:rPr>
        <w:t xml:space="preserve">reflected </w:t>
      </w:r>
      <w:r w:rsidR="00B5768A" w:rsidRPr="00E4462A">
        <w:rPr>
          <w:lang w:val="en-GB"/>
        </w:rPr>
        <w:t xml:space="preserve">a large number of </w:t>
      </w:r>
      <w:r w:rsidR="00F339A3" w:rsidRPr="00E4462A">
        <w:rPr>
          <w:lang w:val="en-GB"/>
        </w:rPr>
        <w:t>intra-aliphatic correlations (C-C</w:t>
      </w:r>
      <w:r w:rsidR="00F339A3" w:rsidRPr="00E4462A">
        <w:rPr>
          <w:b/>
          <w:u w:val="single"/>
          <w:lang w:val="en-GB"/>
        </w:rPr>
        <w:t>H</w:t>
      </w:r>
      <w:r w:rsidR="00F339A3" w:rsidRPr="00E4462A">
        <w:rPr>
          <w:lang w:val="en-GB"/>
        </w:rPr>
        <w:t>-</w:t>
      </w:r>
      <w:r w:rsidR="00537FEB" w:rsidRPr="00E4462A">
        <w:rPr>
          <w:lang w:val="en-GB"/>
        </w:rPr>
        <w:t>C</w:t>
      </w:r>
      <w:r w:rsidR="00537FEB" w:rsidRPr="00E4462A">
        <w:rPr>
          <w:vertAlign w:val="subscript"/>
          <w:lang w:val="en-GB"/>
        </w:rPr>
        <w:t>n</w:t>
      </w:r>
      <w:r w:rsidR="00537FEB" w:rsidRPr="00E4462A">
        <w:rPr>
          <w:lang w:val="en-GB"/>
        </w:rPr>
        <w:t>H-</w:t>
      </w:r>
      <w:r w:rsidR="00F339A3" w:rsidRPr="00E4462A">
        <w:rPr>
          <w:lang w:val="en-GB"/>
        </w:rPr>
        <w:t>C</w:t>
      </w:r>
      <w:r w:rsidR="00F339A3" w:rsidRPr="00E4462A">
        <w:rPr>
          <w:b/>
          <w:u w:val="single"/>
          <w:lang w:val="en-GB"/>
        </w:rPr>
        <w:t>H</w:t>
      </w:r>
      <w:r w:rsidR="00F339A3" w:rsidRPr="00E4462A">
        <w:rPr>
          <w:lang w:val="en-GB"/>
        </w:rPr>
        <w:t>-C</w:t>
      </w:r>
      <w:r w:rsidR="00537FEB" w:rsidRPr="00E4462A">
        <w:rPr>
          <w:lang w:val="en-GB"/>
        </w:rPr>
        <w:t xml:space="preserve">; n = 0 - 2; Fig. </w:t>
      </w:r>
      <w:r w:rsidR="0073640C" w:rsidRPr="00E4462A">
        <w:rPr>
          <w:lang w:val="en-GB"/>
        </w:rPr>
        <w:t>3A</w:t>
      </w:r>
      <w:r w:rsidR="00537FEB" w:rsidRPr="00E4462A">
        <w:rPr>
          <w:lang w:val="en-GB"/>
        </w:rPr>
        <w:t>, section b</w:t>
      </w:r>
      <w:r w:rsidR="00F339A3" w:rsidRPr="00E4462A">
        <w:rPr>
          <w:lang w:val="en-GB"/>
        </w:rPr>
        <w:t>), and fewer cross peaks in-between oxygenated aliphatics (O-C</w:t>
      </w:r>
      <w:r w:rsidR="00F339A3" w:rsidRPr="00E4462A">
        <w:rPr>
          <w:b/>
          <w:u w:val="single"/>
          <w:lang w:val="en-GB"/>
        </w:rPr>
        <w:t>H</w:t>
      </w:r>
      <w:r w:rsidR="00F339A3" w:rsidRPr="00E4462A">
        <w:rPr>
          <w:lang w:val="en-GB"/>
        </w:rPr>
        <w:t>-C</w:t>
      </w:r>
      <w:r w:rsidR="00F339A3" w:rsidRPr="00E4462A">
        <w:rPr>
          <w:b/>
          <w:u w:val="single"/>
          <w:lang w:val="en-GB"/>
        </w:rPr>
        <w:t>H</w:t>
      </w:r>
      <w:r w:rsidR="00F339A3" w:rsidRPr="00E4462A">
        <w:rPr>
          <w:lang w:val="en-GB"/>
        </w:rPr>
        <w:t>-O</w:t>
      </w:r>
      <w:r w:rsidR="00537FEB" w:rsidRPr="00E4462A">
        <w:rPr>
          <w:lang w:val="en-GB"/>
        </w:rPr>
        <w:t xml:space="preserve">; Fig. </w:t>
      </w:r>
      <w:r w:rsidR="0073640C" w:rsidRPr="00E4462A">
        <w:rPr>
          <w:lang w:val="en-GB"/>
        </w:rPr>
        <w:t>3A</w:t>
      </w:r>
      <w:r w:rsidR="00537FEB" w:rsidRPr="00E4462A">
        <w:rPr>
          <w:lang w:val="en-GB"/>
        </w:rPr>
        <w:t xml:space="preserve">, </w:t>
      </w:r>
      <w:r w:rsidR="00537FEB" w:rsidRPr="00E4462A">
        <w:rPr>
          <w:rFonts w:eastAsia="Calibri"/>
          <w:lang w:val="en-US"/>
        </w:rPr>
        <w:t>δ</w:t>
      </w:r>
      <w:r w:rsidR="00537FEB" w:rsidRPr="00E4462A">
        <w:rPr>
          <w:rFonts w:eastAsia="Calibri"/>
          <w:vertAlign w:val="subscript"/>
          <w:lang w:val="en-US"/>
        </w:rPr>
        <w:t>H</w:t>
      </w:r>
      <w:r w:rsidR="00537FEB" w:rsidRPr="00E4462A">
        <w:rPr>
          <w:rFonts w:eastAsia="Calibri"/>
          <w:lang w:val="en-US"/>
        </w:rPr>
        <w:t xml:space="preserve"> &gt; 3.4 ppm</w:t>
      </w:r>
      <w:r w:rsidR="00F339A3" w:rsidRPr="00E4462A">
        <w:rPr>
          <w:lang w:val="en-GB"/>
        </w:rPr>
        <w:t>). Protons bound to sp</w:t>
      </w:r>
      <w:r w:rsidR="00F339A3" w:rsidRPr="00E4462A">
        <w:rPr>
          <w:vertAlign w:val="superscript"/>
          <w:lang w:val="en-GB"/>
        </w:rPr>
        <w:t>2</w:t>
      </w:r>
      <w:r w:rsidR="00F339A3" w:rsidRPr="00E4462A">
        <w:rPr>
          <w:lang w:val="en-GB"/>
        </w:rPr>
        <w:t xml:space="preserve">-hybridized carbon produced better resolved TOCSY cross peaks and were part of various </w:t>
      </w:r>
      <w:r w:rsidR="00F339A3" w:rsidRPr="00E4462A">
        <w:rPr>
          <w:rFonts w:ascii="Symbol" w:hAnsi="Symbol"/>
          <w:lang w:val="en-GB"/>
        </w:rPr>
        <w:t></w:t>
      </w:r>
      <w:r w:rsidR="00F339A3" w:rsidRPr="00E4462A">
        <w:rPr>
          <w:lang w:val="en-GB"/>
        </w:rPr>
        <w:t xml:space="preserve">, </w:t>
      </w:r>
      <w:r w:rsidR="00F339A3" w:rsidRPr="00E4462A">
        <w:rPr>
          <w:rFonts w:ascii="Symbol" w:hAnsi="Symbol"/>
          <w:lang w:val="en-GB"/>
        </w:rPr>
        <w:t></w:t>
      </w:r>
      <w:r w:rsidR="00F339A3" w:rsidRPr="00E4462A">
        <w:rPr>
          <w:lang w:val="en-GB"/>
        </w:rPr>
        <w:t xml:space="preserve">-unsaturated </w:t>
      </w:r>
      <w:r w:rsidR="0073640C" w:rsidRPr="00E4462A">
        <w:rPr>
          <w:lang w:val="en-GB"/>
        </w:rPr>
        <w:t>olefins</w:t>
      </w:r>
      <w:r w:rsidR="00537FEB" w:rsidRPr="00E4462A">
        <w:rPr>
          <w:lang w:val="en-GB"/>
        </w:rPr>
        <w:t xml:space="preserve"> (Fig. </w:t>
      </w:r>
      <w:r w:rsidR="0073640C" w:rsidRPr="00E4462A">
        <w:rPr>
          <w:lang w:val="en-GB"/>
        </w:rPr>
        <w:t>3B</w:t>
      </w:r>
      <w:r w:rsidR="00537FEB" w:rsidRPr="00E4462A">
        <w:rPr>
          <w:lang w:val="en-GB"/>
        </w:rPr>
        <w:t>, section c, d)</w:t>
      </w:r>
      <w:r w:rsidR="00F339A3" w:rsidRPr="00E4462A">
        <w:rPr>
          <w:lang w:val="en-GB"/>
        </w:rPr>
        <w:t>, oxygenated and carbonyl (COX) derivatives of benzenes with up to three COX substituents</w:t>
      </w:r>
      <w:r w:rsidR="00537FEB" w:rsidRPr="00E4462A">
        <w:rPr>
          <w:lang w:val="en-GB"/>
        </w:rPr>
        <w:t xml:space="preserve"> (Fig. </w:t>
      </w:r>
      <w:r w:rsidR="0073640C" w:rsidRPr="00E4462A">
        <w:rPr>
          <w:lang w:val="en-GB"/>
        </w:rPr>
        <w:t>3C</w:t>
      </w:r>
      <w:r w:rsidR="00537FEB" w:rsidRPr="00E4462A">
        <w:rPr>
          <w:lang w:val="en-GB"/>
        </w:rPr>
        <w:t>, section f, g, h</w:t>
      </w:r>
      <w:r w:rsidR="00F339A3" w:rsidRPr="00E4462A">
        <w:rPr>
          <w:lang w:val="en-GB"/>
        </w:rPr>
        <w:t xml:space="preserve">) as well as six-membered nitrogen heterocycles and more extended aromatic systems with up to several aromatic rings (Fig. </w:t>
      </w:r>
      <w:r w:rsidR="0073640C" w:rsidRPr="00E4462A">
        <w:rPr>
          <w:lang w:val="en-GB"/>
        </w:rPr>
        <w:t>3B</w:t>
      </w:r>
      <w:r w:rsidR="00537FEB" w:rsidRPr="00E4462A">
        <w:rPr>
          <w:lang w:val="en-GB"/>
        </w:rPr>
        <w:t xml:space="preserve">, </w:t>
      </w:r>
      <w:r w:rsidR="0073640C" w:rsidRPr="00E4462A">
        <w:rPr>
          <w:lang w:val="en-GB"/>
        </w:rPr>
        <w:t>3C</w:t>
      </w:r>
      <w:r w:rsidR="00537FEB" w:rsidRPr="00E4462A">
        <w:rPr>
          <w:lang w:val="en-GB"/>
        </w:rPr>
        <w:t xml:space="preserve">, </w:t>
      </w:r>
      <w:r w:rsidR="00EA1358" w:rsidRPr="00E4462A">
        <w:rPr>
          <w:lang w:val="en-GB"/>
        </w:rPr>
        <w:t xml:space="preserve">section e, </w:t>
      </w:r>
      <w:r w:rsidR="0073640C" w:rsidRPr="00E4462A">
        <w:rPr>
          <w:lang w:val="en-GB"/>
        </w:rPr>
        <w:t>3D</w:t>
      </w:r>
      <w:r w:rsidR="008130CA" w:rsidRPr="00E4462A">
        <w:rPr>
          <w:lang w:val="en-GB"/>
        </w:rPr>
        <w:t xml:space="preserve">; Fig. </w:t>
      </w:r>
      <w:r w:rsidR="0073640C" w:rsidRPr="00E4462A">
        <w:rPr>
          <w:lang w:val="en-GB"/>
        </w:rPr>
        <w:t>4</w:t>
      </w:r>
      <w:r w:rsidR="00F339A3" w:rsidRPr="00E4462A">
        <w:rPr>
          <w:lang w:val="en-GB"/>
        </w:rPr>
        <w:t>).</w:t>
      </w:r>
      <w:r w:rsidR="008764C0" w:rsidRPr="00E4462A">
        <w:rPr>
          <w:lang w:val="en-GB"/>
        </w:rPr>
        <w:t xml:space="preserve"> As mentioned earlier, such compounds might be related to the presence of combustion-derived compounds such as DBC and DBN (Ding et al., 2014a and b)</w:t>
      </w:r>
      <w:r w:rsidR="0073640C" w:rsidRPr="00E4462A">
        <w:rPr>
          <w:lang w:val="en-GB"/>
        </w:rPr>
        <w:t xml:space="preserve"> and even black sulfur DBS (Hertkorn et al., 2013; see attendant discussion of FTICR mass spectra). In </w:t>
      </w:r>
      <w:r w:rsidR="0073640C" w:rsidRPr="00E4462A">
        <w:rPr>
          <w:lang w:val="en-GB"/>
        </w:rPr>
        <w:lastRenderedPageBreak/>
        <w:t xml:space="preserve">contrast to common five-membered heterocycles, (di)benzothiophene derivatives exhibit NMR resonances ranging from </w:t>
      </w:r>
      <w:r w:rsidR="0073640C" w:rsidRPr="00E4462A">
        <w:rPr>
          <w:rFonts w:ascii="Symbol" w:hAnsi="Symbol"/>
          <w:lang w:val="en-GB"/>
        </w:rPr>
        <w:t></w:t>
      </w:r>
      <w:r w:rsidR="0073640C" w:rsidRPr="00E4462A">
        <w:rPr>
          <w:vertAlign w:val="subscript"/>
          <w:lang w:val="en-GB"/>
        </w:rPr>
        <w:t>H</w:t>
      </w:r>
      <w:r w:rsidR="0073640C" w:rsidRPr="00E4462A">
        <w:rPr>
          <w:lang w:val="en-GB"/>
        </w:rPr>
        <w:t>: 7.4 – 8.1 ppm; corresponding HSQC cross peaks of DBS would appear in section g, Fig. 4)</w:t>
      </w:r>
      <w:r w:rsidR="008764C0" w:rsidRPr="00E4462A">
        <w:rPr>
          <w:lang w:val="en-GB"/>
        </w:rPr>
        <w:t>.</w:t>
      </w:r>
    </w:p>
    <w:p w14:paraId="58486762" w14:textId="743DA284" w:rsidR="00F339A3" w:rsidRPr="00E4462A" w:rsidRDefault="00F339A3" w:rsidP="008B22B1">
      <w:pPr>
        <w:spacing w:line="360" w:lineRule="auto"/>
        <w:ind w:firstLine="709"/>
        <w:jc w:val="both"/>
        <w:rPr>
          <w:rFonts w:eastAsia="Calibri"/>
          <w:i/>
          <w:lang w:val="en-US"/>
        </w:rPr>
      </w:pPr>
      <w:r w:rsidRPr="00E4462A">
        <w:rPr>
          <w:rFonts w:eastAsia="Calibri"/>
          <w:lang w:val="en-US"/>
        </w:rPr>
        <w:t xml:space="preserve">HSQC NMR spectra of PAN and OKA did not show peculiar features which </w:t>
      </w:r>
      <w:r w:rsidR="0073640C" w:rsidRPr="00E4462A">
        <w:rPr>
          <w:rFonts w:eastAsia="Calibri"/>
          <w:lang w:val="en-US"/>
        </w:rPr>
        <w:t>were</w:t>
      </w:r>
      <w:r w:rsidRPr="00E4462A">
        <w:rPr>
          <w:rFonts w:eastAsia="Calibri"/>
          <w:lang w:val="en-US"/>
        </w:rPr>
        <w:t xml:space="preserve"> not </w:t>
      </w:r>
      <w:r w:rsidR="0073640C" w:rsidRPr="00E4462A">
        <w:rPr>
          <w:rFonts w:eastAsia="Calibri"/>
          <w:lang w:val="en-US"/>
        </w:rPr>
        <w:t>observable</w:t>
      </w:r>
      <w:r w:rsidRPr="00E4462A">
        <w:rPr>
          <w:rFonts w:eastAsia="Calibri"/>
          <w:lang w:val="en-US"/>
        </w:rPr>
        <w:t xml:space="preserve"> in those of both FCE samples and therefore will be not discussed here. The HSQC NMR spectra of both FCE-S and FCE-L</w:t>
      </w:r>
      <w:r w:rsidR="00406C97" w:rsidRPr="00E4462A">
        <w:rPr>
          <w:rFonts w:eastAsia="Calibri"/>
          <w:lang w:val="en-US"/>
        </w:rPr>
        <w:t xml:space="preserve"> </w:t>
      </w:r>
      <w:r w:rsidR="008130CA" w:rsidRPr="00E4462A">
        <w:rPr>
          <w:rFonts w:eastAsia="Calibri"/>
          <w:lang w:val="en-US"/>
        </w:rPr>
        <w:t>were</w:t>
      </w:r>
      <w:r w:rsidRPr="00E4462A">
        <w:rPr>
          <w:rFonts w:eastAsia="Calibri"/>
          <w:lang w:val="en-US"/>
        </w:rPr>
        <w:t xml:space="preserve"> remarkably similar and produced near identical overlay NMR spectra with some discernible variance in HSQC cross peak amplitude rather than positioning (data not shown). This behavior is expected from comparison of the one-dimensional </w:t>
      </w:r>
      <w:r w:rsidRPr="00E4462A">
        <w:rPr>
          <w:rFonts w:eastAsia="Calibri"/>
          <w:vertAlign w:val="superscript"/>
          <w:lang w:val="en-US"/>
        </w:rPr>
        <w:t>1</w:t>
      </w:r>
      <w:r w:rsidRPr="00E4462A">
        <w:rPr>
          <w:rFonts w:eastAsia="Calibri"/>
          <w:lang w:val="en-US"/>
        </w:rPr>
        <w:t>H NMR spectra</w:t>
      </w:r>
      <w:r w:rsidR="00406C97" w:rsidRPr="00E4462A">
        <w:rPr>
          <w:rFonts w:eastAsia="Calibri"/>
          <w:lang w:val="en-US"/>
        </w:rPr>
        <w:t>. These</w:t>
      </w:r>
      <w:r w:rsidRPr="00E4462A">
        <w:rPr>
          <w:rFonts w:eastAsia="Calibri"/>
          <w:lang w:val="en-US"/>
        </w:rPr>
        <w:t xml:space="preserve"> display </w:t>
      </w:r>
      <w:r w:rsidR="00406C97" w:rsidRPr="00E4462A">
        <w:rPr>
          <w:rFonts w:eastAsia="Calibri"/>
          <w:lang w:val="en-US"/>
        </w:rPr>
        <w:t>differences</w:t>
      </w:r>
      <w:r w:rsidRPr="00E4462A">
        <w:rPr>
          <w:rFonts w:eastAsia="Calibri"/>
          <w:lang w:val="en-US"/>
        </w:rPr>
        <w:t xml:space="preserve"> in relative amplitude rather than positioning of NMR resonances</w:t>
      </w:r>
      <w:r w:rsidR="00406C97" w:rsidRPr="00E4462A">
        <w:rPr>
          <w:rFonts w:eastAsia="Calibri"/>
          <w:lang w:val="en-US"/>
        </w:rPr>
        <w:t xml:space="preserve"> which is</w:t>
      </w:r>
      <w:r w:rsidR="006F391D" w:rsidRPr="00E4462A">
        <w:rPr>
          <w:rFonts w:eastAsia="Calibri"/>
          <w:lang w:val="en-US"/>
        </w:rPr>
        <w:t xml:space="preserve"> indicative of variance in abundance of certain molecules rather than variance in molecular diversity (see, however, discussion of CH</w:t>
      </w:r>
      <w:r w:rsidR="00F80969" w:rsidRPr="00E4462A">
        <w:rPr>
          <w:rFonts w:eastAsia="Calibri"/>
          <w:lang w:val="en-US"/>
        </w:rPr>
        <w:t xml:space="preserve">OS compounds present in FCE </w:t>
      </w:r>
      <w:r w:rsidR="006F391D" w:rsidRPr="00E4462A">
        <w:rPr>
          <w:rFonts w:eastAsia="Calibri"/>
          <w:lang w:val="en-US"/>
        </w:rPr>
        <w:t>DOM</w:t>
      </w:r>
      <w:r w:rsidR="000A6970" w:rsidRPr="00E4462A">
        <w:rPr>
          <w:rFonts w:eastAsia="Calibri"/>
          <w:lang w:val="en-US"/>
        </w:rPr>
        <w:t xml:space="preserve"> as derived from FTICR mass spectrometry</w:t>
      </w:r>
      <w:r w:rsidR="006F391D" w:rsidRPr="00E4462A">
        <w:rPr>
          <w:rFonts w:eastAsia="Calibri"/>
          <w:lang w:val="en-US"/>
        </w:rPr>
        <w:t>)</w:t>
      </w:r>
      <w:r w:rsidRPr="00E4462A">
        <w:rPr>
          <w:rFonts w:eastAsia="Calibri"/>
          <w:lang w:val="en-US"/>
        </w:rPr>
        <w:t>. About 90 % of overall HSQC cross peak integral resided in a contiguous expansive superimposed assembly of HSQC cross peaks originating from protons bound to sp</w:t>
      </w:r>
      <w:r w:rsidRPr="00E4462A">
        <w:rPr>
          <w:rFonts w:eastAsia="Calibri"/>
          <w:vertAlign w:val="superscript"/>
          <w:lang w:val="en-US"/>
        </w:rPr>
        <w:t>3</w:t>
      </w:r>
      <w:r w:rsidRPr="00E4462A">
        <w:rPr>
          <w:rFonts w:eastAsia="Calibri"/>
          <w:lang w:val="en-US"/>
        </w:rPr>
        <w:t xml:space="preserve">-hybridized carbon (Fig. </w:t>
      </w:r>
      <w:r w:rsidR="00132BC2" w:rsidRPr="00E4462A">
        <w:rPr>
          <w:rFonts w:eastAsia="Calibri"/>
          <w:lang w:val="en-US"/>
        </w:rPr>
        <w:t>S4</w:t>
      </w:r>
      <w:r w:rsidRPr="00E4462A">
        <w:rPr>
          <w:rFonts w:eastAsia="Calibri"/>
          <w:lang w:val="en-US"/>
        </w:rPr>
        <w:t xml:space="preserve">). </w:t>
      </w:r>
    </w:p>
    <w:p w14:paraId="6CB2ED3F" w14:textId="7647EEAC" w:rsidR="006F391D" w:rsidRPr="00E4462A" w:rsidRDefault="00406C97" w:rsidP="008B22B1">
      <w:pPr>
        <w:spacing w:line="360" w:lineRule="auto"/>
        <w:ind w:firstLine="709"/>
        <w:jc w:val="both"/>
        <w:rPr>
          <w:lang w:val="en-GB"/>
        </w:rPr>
      </w:pPr>
      <w:r w:rsidRPr="00E4462A">
        <w:rPr>
          <w:lang w:val="en-GB"/>
        </w:rPr>
        <w:t>The r</w:t>
      </w:r>
      <w:r w:rsidR="00AA3613" w:rsidRPr="00E4462A">
        <w:rPr>
          <w:lang w:val="en-GB"/>
        </w:rPr>
        <w:t>esolution of</w:t>
      </w:r>
      <w:r w:rsidR="0059577E" w:rsidRPr="00E4462A">
        <w:rPr>
          <w:lang w:val="en-GB"/>
        </w:rPr>
        <w:t xml:space="preserve"> </w:t>
      </w:r>
      <w:r w:rsidR="00AA3613" w:rsidRPr="00E4462A">
        <w:rPr>
          <w:lang w:val="en-GB"/>
        </w:rPr>
        <w:t>these expansive aliphatic HSQC cross-</w:t>
      </w:r>
      <w:r w:rsidR="006F391D" w:rsidRPr="00E4462A">
        <w:rPr>
          <w:lang w:val="en-GB"/>
        </w:rPr>
        <w:t xml:space="preserve">peaks of FCE-S (Fig. </w:t>
      </w:r>
      <w:r w:rsidR="00132BC2" w:rsidRPr="00E4462A">
        <w:rPr>
          <w:lang w:val="en-GB"/>
        </w:rPr>
        <w:t>S4</w:t>
      </w:r>
      <w:r w:rsidR="006F391D" w:rsidRPr="00E4462A">
        <w:rPr>
          <w:lang w:val="en-GB"/>
        </w:rPr>
        <w:t>) could be remarkably improved by spectral editing according to carbon multiplicity</w:t>
      </w:r>
      <w:r w:rsidR="0085030A" w:rsidRPr="00E4462A">
        <w:rPr>
          <w:lang w:val="en-GB"/>
        </w:rPr>
        <w:t xml:space="preserve"> (Fig. </w:t>
      </w:r>
      <w:r w:rsidR="0073640C" w:rsidRPr="00E4462A">
        <w:rPr>
          <w:lang w:val="en-GB"/>
        </w:rPr>
        <w:t>5</w:t>
      </w:r>
      <w:r w:rsidR="0085030A" w:rsidRPr="00E4462A">
        <w:rPr>
          <w:lang w:val="en-GB"/>
        </w:rPr>
        <w:t>)</w:t>
      </w:r>
      <w:r w:rsidR="006F391D" w:rsidRPr="00E4462A">
        <w:rPr>
          <w:lang w:val="en-GB"/>
        </w:rPr>
        <w:t>. The combination of methyl- and methylene-selective DEPT-HSQC NMR spectra revealed well discriminated cross peaks for all three types of protonated carbon; i.e. methyl, methylene and methin</w:t>
      </w:r>
      <w:r w:rsidR="006C688D" w:rsidRPr="00E4462A">
        <w:rPr>
          <w:lang w:val="en-GB"/>
        </w:rPr>
        <w:t>e</w:t>
      </w:r>
      <w:r w:rsidR="006F391D" w:rsidRPr="00E4462A">
        <w:rPr>
          <w:lang w:val="en-GB"/>
        </w:rPr>
        <w:t xml:space="preserve"> (Fig. </w:t>
      </w:r>
      <w:r w:rsidR="0073640C" w:rsidRPr="00E4462A">
        <w:rPr>
          <w:lang w:val="en-GB"/>
        </w:rPr>
        <w:t>5</w:t>
      </w:r>
      <w:r w:rsidR="006F391D" w:rsidRPr="00E4462A">
        <w:rPr>
          <w:lang w:val="en-GB"/>
        </w:rPr>
        <w:t xml:space="preserve">). </w:t>
      </w:r>
      <w:r w:rsidR="00287866" w:rsidRPr="00E4462A">
        <w:rPr>
          <w:rFonts w:cs="Arial"/>
          <w:lang w:val="en-GB"/>
        </w:rPr>
        <w:t>The chemical diversity of X-CH</w:t>
      </w:r>
      <w:r w:rsidR="00287866" w:rsidRPr="00E4462A">
        <w:rPr>
          <w:rFonts w:cs="Arial"/>
          <w:vertAlign w:val="subscript"/>
          <w:lang w:val="en-GB"/>
        </w:rPr>
        <w:t>3</w:t>
      </w:r>
      <w:r w:rsidR="00287866" w:rsidRPr="00E4462A">
        <w:rPr>
          <w:rFonts w:cs="Arial"/>
          <w:lang w:val="en-GB"/>
        </w:rPr>
        <w:t xml:space="preserve"> groups as indicated by DEPT HSQC cross peaks (section a</w:t>
      </w:r>
      <w:r w:rsidR="00EE0648" w:rsidRPr="00E4462A">
        <w:rPr>
          <w:rFonts w:cs="Arial"/>
          <w:lang w:val="en-GB"/>
        </w:rPr>
        <w:t>,</w:t>
      </w:r>
      <w:r w:rsidR="00287866" w:rsidRPr="00E4462A">
        <w:rPr>
          <w:rFonts w:cs="Arial"/>
          <w:lang w:val="en-GB"/>
        </w:rPr>
        <w:t xml:space="preserve"> Fig. </w:t>
      </w:r>
      <w:r w:rsidR="0073640C" w:rsidRPr="00E4462A">
        <w:rPr>
          <w:rFonts w:cs="Arial"/>
          <w:lang w:val="en-GB"/>
        </w:rPr>
        <w:t>5</w:t>
      </w:r>
      <w:r w:rsidR="00287866" w:rsidRPr="00E4462A">
        <w:rPr>
          <w:rFonts w:cs="Arial"/>
          <w:lang w:val="en-GB"/>
        </w:rPr>
        <w:t xml:space="preserve">) was </w:t>
      </w:r>
      <w:r w:rsidR="00EA7EDC" w:rsidRPr="00E4462A">
        <w:rPr>
          <w:rFonts w:cs="Arial"/>
          <w:lang w:val="en-GB"/>
        </w:rPr>
        <w:t>noteworthy</w:t>
      </w:r>
      <w:r w:rsidR="00287866" w:rsidRPr="00E4462A">
        <w:rPr>
          <w:rFonts w:cs="Arial"/>
          <w:lang w:val="en-GB"/>
        </w:rPr>
        <w:t>, and the near Gaussian distribution of C-CH</w:t>
      </w:r>
      <w:r w:rsidR="00287866" w:rsidRPr="00E4462A">
        <w:rPr>
          <w:rFonts w:cs="Arial"/>
          <w:vertAlign w:val="subscript"/>
          <w:lang w:val="en-GB"/>
        </w:rPr>
        <w:t>3</w:t>
      </w:r>
      <w:r w:rsidR="00287866" w:rsidRPr="00E4462A">
        <w:rPr>
          <w:rFonts w:cs="Arial"/>
          <w:lang w:val="en-GB"/>
        </w:rPr>
        <w:t xml:space="preserve"> cross peak</w:t>
      </w:r>
      <w:r w:rsidR="0073640C" w:rsidRPr="00E4462A">
        <w:rPr>
          <w:rFonts w:cs="Arial"/>
          <w:lang w:val="en-GB"/>
        </w:rPr>
        <w:t xml:space="preserve"> amplitude</w:t>
      </w:r>
      <w:r w:rsidR="00287866" w:rsidRPr="00E4462A">
        <w:rPr>
          <w:rFonts w:cs="Arial"/>
          <w:lang w:val="en-GB"/>
        </w:rPr>
        <w:t xml:space="preserve"> in </w:t>
      </w:r>
      <w:r w:rsidR="00287866" w:rsidRPr="00E4462A">
        <w:rPr>
          <w:rFonts w:cs="Arial"/>
          <w:vertAlign w:val="superscript"/>
          <w:lang w:val="en-GB"/>
        </w:rPr>
        <w:t>1</w:t>
      </w:r>
      <w:r w:rsidR="00287866" w:rsidRPr="00E4462A">
        <w:rPr>
          <w:rFonts w:cs="Arial"/>
          <w:lang w:val="en-GB"/>
        </w:rPr>
        <w:t xml:space="preserve">H and </w:t>
      </w:r>
      <w:r w:rsidR="00287866" w:rsidRPr="00E4462A">
        <w:rPr>
          <w:rFonts w:cs="Arial"/>
          <w:vertAlign w:val="superscript"/>
          <w:lang w:val="en-GB"/>
        </w:rPr>
        <w:t>13</w:t>
      </w:r>
      <w:r w:rsidR="00287866" w:rsidRPr="00E4462A">
        <w:rPr>
          <w:rFonts w:cs="Arial"/>
          <w:lang w:val="en-GB"/>
        </w:rPr>
        <w:t xml:space="preserve">C NMR frequencies indicated near maximum diversity of aliphatic chemical environments associated with </w:t>
      </w:r>
      <w:r w:rsidR="000A6970" w:rsidRPr="00E4462A">
        <w:rPr>
          <w:rFonts w:cs="Arial"/>
          <w:lang w:val="en-GB"/>
        </w:rPr>
        <w:t xml:space="preserve">these </w:t>
      </w:r>
      <w:r w:rsidR="00287866" w:rsidRPr="00E4462A">
        <w:rPr>
          <w:rFonts w:cs="Arial"/>
          <w:lang w:val="en-GB"/>
        </w:rPr>
        <w:t>methyl groups.</w:t>
      </w:r>
      <w:r w:rsidR="006F391D" w:rsidRPr="00E4462A">
        <w:rPr>
          <w:lang w:val="en-GB"/>
        </w:rPr>
        <w:t xml:space="preserve"> </w:t>
      </w:r>
      <w:r w:rsidR="005070A5" w:rsidRPr="00E4462A">
        <w:rPr>
          <w:lang w:val="en-GB"/>
        </w:rPr>
        <w:t>However, classical methyl groups terminating extensive, purely aliphatic units (</w:t>
      </w:r>
      <w:r w:rsidR="005070A5" w:rsidRPr="00E4462A">
        <w:rPr>
          <w:rFonts w:eastAsia="Calibri"/>
          <w:lang w:val="en-US"/>
        </w:rPr>
        <w:t>δ</w:t>
      </w:r>
      <w:r w:rsidR="005070A5" w:rsidRPr="00E4462A">
        <w:rPr>
          <w:rFonts w:eastAsia="Calibri"/>
          <w:vertAlign w:val="subscript"/>
          <w:lang w:val="en-US"/>
        </w:rPr>
        <w:t>H</w:t>
      </w:r>
      <w:r w:rsidR="005070A5" w:rsidRPr="00E4462A">
        <w:rPr>
          <w:rFonts w:eastAsia="Calibri"/>
          <w:lang w:val="en-US"/>
        </w:rPr>
        <w:t xml:space="preserve"> &lt; 1.0 ppm; CCC</w:t>
      </w:r>
      <w:r w:rsidR="005070A5" w:rsidRPr="00E4462A">
        <w:rPr>
          <w:rFonts w:eastAsia="Calibri"/>
          <w:b/>
          <w:u w:val="single"/>
          <w:lang w:val="en-US"/>
        </w:rPr>
        <w:t>CH</w:t>
      </w:r>
      <w:r w:rsidR="005070A5" w:rsidRPr="00E4462A">
        <w:rPr>
          <w:rFonts w:eastAsia="Calibri"/>
          <w:b/>
          <w:u w:val="single"/>
          <w:vertAlign w:val="subscript"/>
          <w:lang w:val="en-US"/>
        </w:rPr>
        <w:t>3</w:t>
      </w:r>
      <w:r w:rsidR="005070A5" w:rsidRPr="00E4462A">
        <w:rPr>
          <w:rFonts w:eastAsia="Calibri"/>
          <w:lang w:val="en-US"/>
        </w:rPr>
        <w:t xml:space="preserve"> units) contributed less than 20% to </w:t>
      </w:r>
      <w:r w:rsidR="00735B17" w:rsidRPr="00E4462A">
        <w:rPr>
          <w:rFonts w:eastAsia="Calibri"/>
          <w:lang w:val="en-US"/>
        </w:rPr>
        <w:t xml:space="preserve">the </w:t>
      </w:r>
      <w:r w:rsidR="005070A5" w:rsidRPr="00E4462A">
        <w:rPr>
          <w:rFonts w:eastAsia="Calibri"/>
          <w:lang w:val="en-US"/>
        </w:rPr>
        <w:t>total C</w:t>
      </w:r>
      <w:r w:rsidR="005070A5" w:rsidRPr="00E4462A">
        <w:rPr>
          <w:rFonts w:eastAsia="Calibri"/>
          <w:b/>
          <w:u w:val="single"/>
          <w:lang w:val="en-US"/>
        </w:rPr>
        <w:t>CH</w:t>
      </w:r>
      <w:r w:rsidR="005070A5" w:rsidRPr="00E4462A">
        <w:rPr>
          <w:rFonts w:eastAsia="Calibri"/>
          <w:b/>
          <w:u w:val="single"/>
          <w:vertAlign w:val="subscript"/>
          <w:lang w:val="en-US"/>
        </w:rPr>
        <w:t>3</w:t>
      </w:r>
      <w:r w:rsidR="005070A5" w:rsidRPr="00E4462A">
        <w:rPr>
          <w:rFonts w:eastAsia="Calibri"/>
          <w:lang w:val="en-US"/>
        </w:rPr>
        <w:t xml:space="preserve"> HSQC cross peak integral. </w:t>
      </w:r>
      <w:r w:rsidR="006F391D" w:rsidRPr="00E4462A">
        <w:rPr>
          <w:lang w:val="en-GB"/>
        </w:rPr>
        <w:t>The large majority of C-</w:t>
      </w:r>
      <w:r w:rsidR="006F391D" w:rsidRPr="00E4462A">
        <w:rPr>
          <w:b/>
          <w:u w:val="single"/>
          <w:lang w:val="en-GB"/>
        </w:rPr>
        <w:t>CH</w:t>
      </w:r>
      <w:r w:rsidR="006F391D" w:rsidRPr="00E4462A">
        <w:rPr>
          <w:b/>
          <w:u w:val="single"/>
          <w:vertAlign w:val="subscript"/>
          <w:lang w:val="en-GB"/>
        </w:rPr>
        <w:t>3</w:t>
      </w:r>
      <w:r w:rsidR="006F391D" w:rsidRPr="00E4462A">
        <w:rPr>
          <w:lang w:val="en-GB"/>
        </w:rPr>
        <w:t xml:space="preserve"> units was </w:t>
      </w:r>
      <w:r w:rsidR="0085030A" w:rsidRPr="00E4462A">
        <w:rPr>
          <w:lang w:val="en-GB"/>
        </w:rPr>
        <w:t xml:space="preserve">sufficiently </w:t>
      </w:r>
      <w:r w:rsidR="006F391D" w:rsidRPr="00E4462A">
        <w:rPr>
          <w:lang w:val="en-GB"/>
        </w:rPr>
        <w:t xml:space="preserve">proximate to carbonyl derivatives (i.e., most likely carboxylic acids) </w:t>
      </w:r>
      <w:r w:rsidR="0085030A" w:rsidRPr="00E4462A">
        <w:rPr>
          <w:lang w:val="en-GB"/>
        </w:rPr>
        <w:t>to let those</w:t>
      </w:r>
      <w:r w:rsidR="006F391D" w:rsidRPr="00E4462A">
        <w:rPr>
          <w:lang w:val="en-GB"/>
        </w:rPr>
        <w:t xml:space="preserve"> experience downfield chemical shift anisotropy from</w:t>
      </w:r>
      <w:r w:rsidR="00287866" w:rsidRPr="00E4462A">
        <w:rPr>
          <w:lang w:val="en-GB"/>
        </w:rPr>
        <w:t xml:space="preserve"> </w:t>
      </w:r>
      <w:r w:rsidR="0085030A" w:rsidRPr="00E4462A">
        <w:rPr>
          <w:lang w:val="en-GB"/>
        </w:rPr>
        <w:t xml:space="preserve">these </w:t>
      </w:r>
      <w:r w:rsidR="006F391D" w:rsidRPr="00E4462A">
        <w:rPr>
          <w:lang w:val="en-GB"/>
        </w:rPr>
        <w:t xml:space="preserve">nearby carbonyl groups, resulting in chemical shifts ranging from </w:t>
      </w:r>
      <w:r w:rsidR="006F391D" w:rsidRPr="00E4462A">
        <w:rPr>
          <w:rFonts w:ascii="Symbol" w:hAnsi="Symbol"/>
          <w:lang w:val="en-US"/>
        </w:rPr>
        <w:t></w:t>
      </w:r>
      <w:r w:rsidR="006F391D" w:rsidRPr="00E4462A">
        <w:rPr>
          <w:rFonts w:ascii="Symbol" w:hAnsi="Symbol"/>
          <w:vertAlign w:val="subscript"/>
          <w:lang w:val="en-US"/>
        </w:rPr>
        <w:t></w:t>
      </w:r>
      <w:r w:rsidR="006F391D" w:rsidRPr="00E4462A">
        <w:rPr>
          <w:lang w:val="en-GB"/>
        </w:rPr>
        <w:t xml:space="preserve"> ~ 1.0 -</w:t>
      </w:r>
      <w:r w:rsidR="00735B17" w:rsidRPr="00E4462A">
        <w:rPr>
          <w:lang w:val="en-GB"/>
        </w:rPr>
        <w:t xml:space="preserve"> </w:t>
      </w:r>
      <w:r w:rsidR="006F391D" w:rsidRPr="00E4462A">
        <w:rPr>
          <w:lang w:val="en-GB"/>
        </w:rPr>
        <w:t xml:space="preserve">1.7 ppm, respectively (cross peak a; Fig. </w:t>
      </w:r>
      <w:r w:rsidR="00995B49" w:rsidRPr="00E4462A">
        <w:rPr>
          <w:lang w:val="en-GB"/>
        </w:rPr>
        <w:t>5</w:t>
      </w:r>
      <w:r w:rsidR="006F391D" w:rsidRPr="00E4462A">
        <w:rPr>
          <w:lang w:val="en-GB"/>
        </w:rPr>
        <w:t>).</w:t>
      </w:r>
      <w:r w:rsidR="0085030A" w:rsidRPr="00E4462A">
        <w:rPr>
          <w:lang w:val="en-GB"/>
        </w:rPr>
        <w:t xml:space="preserve"> Alicyclic structures (e.g. CRAM</w:t>
      </w:r>
      <w:r w:rsidR="00EE0648" w:rsidRPr="00E4462A">
        <w:rPr>
          <w:lang w:val="en-GB"/>
        </w:rPr>
        <w:t>;</w:t>
      </w:r>
      <w:r w:rsidR="000A6970" w:rsidRPr="00E4462A">
        <w:rPr>
          <w:lang w:val="en-GB"/>
        </w:rPr>
        <w:t xml:space="preserve"> Hertkorn et al., 2006</w:t>
      </w:r>
      <w:r w:rsidR="0085030A" w:rsidRPr="00E4462A">
        <w:rPr>
          <w:lang w:val="en-GB"/>
        </w:rPr>
        <w:t xml:space="preserve">) facilitate clustering of chemical environments as shorter paths of chemical bonds </w:t>
      </w:r>
      <w:r w:rsidR="00287866" w:rsidRPr="00E4462A">
        <w:rPr>
          <w:lang w:val="en-GB"/>
        </w:rPr>
        <w:t>between different substituents are</w:t>
      </w:r>
      <w:r w:rsidR="0085030A" w:rsidRPr="00E4462A">
        <w:rPr>
          <w:lang w:val="en-GB"/>
        </w:rPr>
        <w:t xml:space="preserve"> realized in rings</w:t>
      </w:r>
      <w:r w:rsidR="00E924A9" w:rsidRPr="00E4462A">
        <w:rPr>
          <w:lang w:val="en-GB"/>
        </w:rPr>
        <w:t xml:space="preserve"> rather</w:t>
      </w:r>
      <w:r w:rsidR="0085030A" w:rsidRPr="00E4462A">
        <w:rPr>
          <w:lang w:val="en-GB"/>
        </w:rPr>
        <w:t xml:space="preserve"> than in open chains.</w:t>
      </w:r>
      <w:r w:rsidR="00287866" w:rsidRPr="00E4462A">
        <w:rPr>
          <w:lang w:val="en-GB"/>
        </w:rPr>
        <w:t xml:space="preserve"> </w:t>
      </w:r>
      <w:r w:rsidR="00287866" w:rsidRPr="00E4462A">
        <w:rPr>
          <w:rFonts w:cs="Arial"/>
          <w:lang w:val="en-GB"/>
        </w:rPr>
        <w:t xml:space="preserve">Another </w:t>
      </w:r>
      <w:r w:rsidR="00287866" w:rsidRPr="00E4462A">
        <w:rPr>
          <w:rFonts w:ascii="Symbol" w:hAnsi="Symbol"/>
          <w:lang w:val="en-US"/>
        </w:rPr>
        <w:t></w:t>
      </w:r>
      <w:r w:rsidR="00287866" w:rsidRPr="00E4462A">
        <w:rPr>
          <w:rFonts w:cs="Arial"/>
          <w:lang w:val="en-GB"/>
        </w:rPr>
        <w:t>20% of C</w:t>
      </w:r>
      <w:r w:rsidR="00287866" w:rsidRPr="00E4462A">
        <w:rPr>
          <w:rFonts w:cs="Arial"/>
          <w:b/>
          <w:u w:val="single"/>
          <w:lang w:val="en-GB"/>
        </w:rPr>
        <w:t>CH</w:t>
      </w:r>
      <w:r w:rsidR="00287866" w:rsidRPr="00E4462A">
        <w:rPr>
          <w:rFonts w:cs="Arial"/>
          <w:b/>
          <w:u w:val="single"/>
          <w:vertAlign w:val="subscript"/>
          <w:lang w:val="en-GB"/>
        </w:rPr>
        <w:t>3</w:t>
      </w:r>
      <w:r w:rsidR="00287866" w:rsidRPr="00E4462A">
        <w:rPr>
          <w:rFonts w:cs="Arial"/>
          <w:lang w:val="en-GB"/>
        </w:rPr>
        <w:t xml:space="preserve"> in FCE was bound to olefins [C=C-</w:t>
      </w:r>
      <w:r w:rsidR="00287866" w:rsidRPr="00E4462A">
        <w:rPr>
          <w:rFonts w:cs="Arial"/>
          <w:b/>
          <w:u w:val="single"/>
          <w:lang w:val="en-GB"/>
        </w:rPr>
        <w:t>CH</w:t>
      </w:r>
      <w:r w:rsidR="00287866" w:rsidRPr="00E4462A">
        <w:rPr>
          <w:rFonts w:cs="Arial"/>
          <w:b/>
          <w:u w:val="single"/>
          <w:vertAlign w:val="subscript"/>
          <w:lang w:val="en-GB"/>
        </w:rPr>
        <w:t>3</w:t>
      </w:r>
      <w:r w:rsidR="00287866" w:rsidRPr="00E4462A">
        <w:rPr>
          <w:rFonts w:cs="Arial"/>
          <w:lang w:val="en-GB"/>
        </w:rPr>
        <w:t>], with a possible contribution of S-</w:t>
      </w:r>
      <w:r w:rsidR="00287866" w:rsidRPr="00E4462A">
        <w:rPr>
          <w:rFonts w:cs="Arial"/>
          <w:b/>
          <w:u w:val="single"/>
          <w:lang w:val="en-GB"/>
        </w:rPr>
        <w:t>CH</w:t>
      </w:r>
      <w:r w:rsidR="00287866" w:rsidRPr="00E4462A">
        <w:rPr>
          <w:rFonts w:cs="Arial"/>
          <w:b/>
          <w:u w:val="single"/>
          <w:vertAlign w:val="subscript"/>
          <w:lang w:val="en-GB"/>
        </w:rPr>
        <w:t>3</w:t>
      </w:r>
      <w:r w:rsidR="00287866" w:rsidRPr="00E4462A">
        <w:rPr>
          <w:rFonts w:cs="Arial"/>
          <w:lang w:val="en-GB"/>
        </w:rPr>
        <w:t xml:space="preserve"> groups (section b; Fig. </w:t>
      </w:r>
      <w:r w:rsidR="00995B49" w:rsidRPr="00E4462A">
        <w:rPr>
          <w:rFonts w:cs="Arial"/>
          <w:lang w:val="en-GB"/>
        </w:rPr>
        <w:t>5</w:t>
      </w:r>
      <w:r w:rsidR="00287866" w:rsidRPr="00E4462A">
        <w:rPr>
          <w:rFonts w:cs="Arial"/>
          <w:lang w:val="en-GB"/>
        </w:rPr>
        <w:t>).</w:t>
      </w:r>
    </w:p>
    <w:p w14:paraId="27447124" w14:textId="07169860" w:rsidR="00EB5AC8" w:rsidRPr="00E4462A" w:rsidRDefault="006F391D" w:rsidP="008B22B1">
      <w:pPr>
        <w:spacing w:line="360" w:lineRule="auto"/>
        <w:ind w:firstLine="708"/>
        <w:jc w:val="both"/>
        <w:rPr>
          <w:lang w:val="en-GB"/>
        </w:rPr>
      </w:pPr>
      <w:r w:rsidRPr="00E4462A">
        <w:rPr>
          <w:lang w:val="en-GB"/>
        </w:rPr>
        <w:lastRenderedPageBreak/>
        <w:t>The carbon bound methylene (C-</w:t>
      </w:r>
      <w:r w:rsidRPr="00E4462A">
        <w:rPr>
          <w:b/>
          <w:u w:val="single"/>
          <w:lang w:val="en-GB"/>
        </w:rPr>
        <w:t>CH</w:t>
      </w:r>
      <w:r w:rsidRPr="00E4462A">
        <w:rPr>
          <w:b/>
          <w:u w:val="single"/>
          <w:vertAlign w:val="subscript"/>
          <w:lang w:val="en-GB"/>
        </w:rPr>
        <w:t>2</w:t>
      </w:r>
      <w:r w:rsidRPr="00E4462A">
        <w:rPr>
          <w:lang w:val="en-GB"/>
        </w:rPr>
        <w:t xml:space="preserve">-C) cross peak occupied an impressively large area down to </w:t>
      </w:r>
      <w:r w:rsidRPr="00E4462A">
        <w:rPr>
          <w:rFonts w:ascii="Symbol" w:hAnsi="Symbol"/>
          <w:lang w:val="en-US"/>
        </w:rPr>
        <w:t></w:t>
      </w:r>
      <w:r w:rsidRPr="00E4462A">
        <w:rPr>
          <w:rFonts w:ascii="Symbol" w:hAnsi="Symbol"/>
          <w:vertAlign w:val="subscript"/>
          <w:lang w:val="en-US"/>
        </w:rPr>
        <w:t></w:t>
      </w:r>
      <w:r w:rsidRPr="00E4462A">
        <w:rPr>
          <w:rFonts w:ascii="Symbol" w:hAnsi="Symbol"/>
          <w:vertAlign w:val="subscript"/>
          <w:lang w:val="en-US"/>
        </w:rPr>
        <w:t></w:t>
      </w:r>
      <w:r w:rsidRPr="00E4462A">
        <w:rPr>
          <w:lang w:val="en-US"/>
        </w:rPr>
        <w:t>~ 3.5 ppm</w:t>
      </w:r>
      <w:r w:rsidR="00D11DAF" w:rsidRPr="00E4462A">
        <w:rPr>
          <w:lang w:val="en-US"/>
        </w:rPr>
        <w:t>, well into the proton chemical shift range commonly attributed to OC</w:t>
      </w:r>
      <w:r w:rsidR="00D11DAF" w:rsidRPr="00E4462A">
        <w:rPr>
          <w:b/>
          <w:u w:val="single"/>
          <w:lang w:val="en-US"/>
        </w:rPr>
        <w:t>H</w:t>
      </w:r>
      <w:r w:rsidR="00D11DAF" w:rsidRPr="00E4462A">
        <w:rPr>
          <w:lang w:val="en-US"/>
        </w:rPr>
        <w:t xml:space="preserve"> units. </w:t>
      </w:r>
      <w:r w:rsidRPr="00E4462A">
        <w:rPr>
          <w:lang w:val="en-GB"/>
        </w:rPr>
        <w:t xml:space="preserve">The two major chemical environments discriminated were </w:t>
      </w:r>
      <w:r w:rsidR="00306D75" w:rsidRPr="00E4462A">
        <w:rPr>
          <w:lang w:val="en-GB"/>
        </w:rPr>
        <w:t>methylene more distant to COX (C-</w:t>
      </w:r>
      <w:r w:rsidR="00306D75" w:rsidRPr="00E4462A">
        <w:rPr>
          <w:b/>
          <w:u w:val="single"/>
          <w:lang w:val="en-GB"/>
        </w:rPr>
        <w:t>CH</w:t>
      </w:r>
      <w:r w:rsidR="00306D75" w:rsidRPr="00E4462A">
        <w:rPr>
          <w:b/>
          <w:u w:val="single"/>
          <w:vertAlign w:val="subscript"/>
          <w:lang w:val="en-GB"/>
        </w:rPr>
        <w:t>2</w:t>
      </w:r>
      <w:r w:rsidR="00306D75" w:rsidRPr="00E4462A">
        <w:rPr>
          <w:lang w:val="en-GB"/>
        </w:rPr>
        <w:t>-C</w:t>
      </w:r>
      <w:r w:rsidR="00306D75" w:rsidRPr="00E4462A">
        <w:rPr>
          <w:vertAlign w:val="subscript"/>
          <w:lang w:val="en-GB"/>
        </w:rPr>
        <w:t>n</w:t>
      </w:r>
      <w:r w:rsidR="00306D75" w:rsidRPr="00E4462A">
        <w:rPr>
          <w:lang w:val="en-GB"/>
        </w:rPr>
        <w:t>-COX, with n ≥ 1, and</w:t>
      </w:r>
      <w:r w:rsidR="00306D75" w:rsidRPr="00E4462A">
        <w:rPr>
          <w:rFonts w:ascii="Symbol" w:hAnsi="Symbol"/>
          <w:lang w:val="en-US"/>
        </w:rPr>
        <w:t></w:t>
      </w:r>
      <w:r w:rsidR="00306D75" w:rsidRPr="00E4462A">
        <w:rPr>
          <w:rFonts w:ascii="Symbol" w:hAnsi="Symbol"/>
          <w:lang w:val="en-US"/>
        </w:rPr>
        <w:t></w:t>
      </w:r>
      <w:r w:rsidR="00306D75" w:rsidRPr="00E4462A">
        <w:rPr>
          <w:rFonts w:ascii="Symbol" w:hAnsi="Symbol"/>
          <w:vertAlign w:val="subscript"/>
          <w:lang w:val="en-US"/>
        </w:rPr>
        <w:t></w:t>
      </w:r>
      <w:r w:rsidR="00306D75" w:rsidRPr="00E4462A">
        <w:rPr>
          <w:lang w:val="en-GB"/>
        </w:rPr>
        <w:t xml:space="preserve"> &lt; 2.1 ppm cross peak </w:t>
      </w:r>
      <w:r w:rsidR="00EE0648" w:rsidRPr="00E4462A">
        <w:rPr>
          <w:lang w:val="en-GB"/>
        </w:rPr>
        <w:t>d</w:t>
      </w:r>
      <w:r w:rsidR="00306D75" w:rsidRPr="00E4462A">
        <w:rPr>
          <w:lang w:val="en-GB"/>
        </w:rPr>
        <w:t xml:space="preserve">; Fig. </w:t>
      </w:r>
      <w:r w:rsidR="00995B49" w:rsidRPr="00E4462A">
        <w:rPr>
          <w:lang w:val="en-GB"/>
        </w:rPr>
        <w:t>5</w:t>
      </w:r>
      <w:r w:rsidR="00EE0648" w:rsidRPr="00E4462A">
        <w:rPr>
          <w:lang w:val="en-GB"/>
        </w:rPr>
        <w:t>), and</w:t>
      </w:r>
      <w:r w:rsidR="00306D75" w:rsidRPr="00E4462A">
        <w:rPr>
          <w:lang w:val="en-GB"/>
        </w:rPr>
        <w:t xml:space="preserve"> </w:t>
      </w:r>
      <w:r w:rsidRPr="00E4462A">
        <w:rPr>
          <w:lang w:val="en-GB"/>
        </w:rPr>
        <w:t xml:space="preserve">methylene groups directly proximate to carboxylic groups (in </w:t>
      </w:r>
      <w:r w:rsidRPr="00E4462A">
        <w:rPr>
          <w:rFonts w:ascii="Symbol" w:hAnsi="Symbol"/>
          <w:lang w:val="en-GB"/>
        </w:rPr>
        <w:t></w:t>
      </w:r>
      <w:r w:rsidRPr="00E4462A">
        <w:rPr>
          <w:lang w:val="en-GB"/>
        </w:rPr>
        <w:t>-position; i.e. C-</w:t>
      </w:r>
      <w:r w:rsidRPr="00E4462A">
        <w:rPr>
          <w:b/>
          <w:u w:val="single"/>
          <w:lang w:val="en-GB"/>
        </w:rPr>
        <w:t>CH</w:t>
      </w:r>
      <w:r w:rsidRPr="00E4462A">
        <w:rPr>
          <w:b/>
          <w:u w:val="single"/>
          <w:vertAlign w:val="subscript"/>
          <w:lang w:val="en-GB"/>
        </w:rPr>
        <w:t>2</w:t>
      </w:r>
      <w:r w:rsidRPr="00E4462A">
        <w:rPr>
          <w:lang w:val="en-GB"/>
        </w:rPr>
        <w:t xml:space="preserve">-COX, with </w:t>
      </w:r>
      <w:r w:rsidRPr="00E4462A">
        <w:rPr>
          <w:rFonts w:ascii="Symbol" w:hAnsi="Symbol"/>
          <w:lang w:val="en-US"/>
        </w:rPr>
        <w:t></w:t>
      </w:r>
      <w:r w:rsidRPr="00E4462A">
        <w:rPr>
          <w:rFonts w:ascii="Symbol" w:hAnsi="Symbol"/>
          <w:vertAlign w:val="subscript"/>
          <w:lang w:val="en-US"/>
        </w:rPr>
        <w:t></w:t>
      </w:r>
      <w:r w:rsidRPr="00E4462A">
        <w:rPr>
          <w:lang w:val="en-GB"/>
        </w:rPr>
        <w:t xml:space="preserve"> &gt; 2.1 ppm cross peak </w:t>
      </w:r>
      <w:r w:rsidR="00EE0648" w:rsidRPr="00E4462A">
        <w:rPr>
          <w:lang w:val="en-GB"/>
        </w:rPr>
        <w:t>e</w:t>
      </w:r>
      <w:r w:rsidRPr="00E4462A">
        <w:rPr>
          <w:lang w:val="en-GB"/>
        </w:rPr>
        <w:t xml:space="preserve">; Fig. </w:t>
      </w:r>
      <w:r w:rsidR="00995B49" w:rsidRPr="00E4462A">
        <w:rPr>
          <w:lang w:val="en-GB"/>
        </w:rPr>
        <w:t>5</w:t>
      </w:r>
      <w:r w:rsidRPr="00E4462A">
        <w:rPr>
          <w:lang w:val="en-GB"/>
        </w:rPr>
        <w:t>)</w:t>
      </w:r>
      <w:r w:rsidR="00EE0648" w:rsidRPr="00E4462A">
        <w:rPr>
          <w:lang w:val="en-GB"/>
        </w:rPr>
        <w:t>.</w:t>
      </w:r>
      <w:r w:rsidR="00E4489D" w:rsidRPr="00E4462A">
        <w:rPr>
          <w:lang w:val="en-GB"/>
        </w:rPr>
        <w:t xml:space="preserve"> The </w:t>
      </w:r>
      <w:r w:rsidR="001636FF" w:rsidRPr="00E4462A">
        <w:rPr>
          <w:lang w:val="en-GB"/>
        </w:rPr>
        <w:t xml:space="preserve">former </w:t>
      </w:r>
      <w:r w:rsidR="00E4489D" w:rsidRPr="00E4462A">
        <w:rPr>
          <w:lang w:val="en-GB"/>
        </w:rPr>
        <w:t>shows</w:t>
      </w:r>
      <w:r w:rsidRPr="00E4462A">
        <w:rPr>
          <w:lang w:val="en-GB"/>
        </w:rPr>
        <w:t xml:space="preserve"> a wide</w:t>
      </w:r>
      <w:r w:rsidR="00E4489D" w:rsidRPr="00E4462A">
        <w:rPr>
          <w:lang w:val="en-GB"/>
        </w:rPr>
        <w:t>r</w:t>
      </w:r>
      <w:r w:rsidRPr="00E4462A">
        <w:rPr>
          <w:lang w:val="en-GB"/>
        </w:rPr>
        <w:t xml:space="preserve"> range of remote carbon substitution as indicated by the substantial spread of respective carbon chemical shifts</w:t>
      </w:r>
      <w:r w:rsidR="00E4489D" w:rsidRPr="00E4462A">
        <w:rPr>
          <w:lang w:val="en-GB"/>
        </w:rPr>
        <w:t xml:space="preserve"> (</w:t>
      </w:r>
      <w:r w:rsidRPr="00E4462A">
        <w:rPr>
          <w:rFonts w:ascii="Symbol" w:hAnsi="Symbol"/>
          <w:lang w:val="en-GB"/>
        </w:rPr>
        <w:t></w:t>
      </w:r>
      <w:r w:rsidRPr="00E4462A">
        <w:rPr>
          <w:rFonts w:ascii="Symbol" w:hAnsi="Symbol"/>
          <w:lang w:val="en-GB"/>
        </w:rPr>
        <w:t></w:t>
      </w:r>
      <w:r w:rsidRPr="00E4462A">
        <w:rPr>
          <w:vertAlign w:val="subscript"/>
          <w:lang w:val="en-GB"/>
        </w:rPr>
        <w:t>C</w:t>
      </w:r>
      <w:r w:rsidRPr="00E4462A">
        <w:rPr>
          <w:lang w:val="en-GB"/>
        </w:rPr>
        <w:t>: 24</w:t>
      </w:r>
      <w:r w:rsidR="00E4489D" w:rsidRPr="00E4462A">
        <w:rPr>
          <w:lang w:val="en-GB"/>
        </w:rPr>
        <w:t xml:space="preserve"> / 16</w:t>
      </w:r>
      <w:r w:rsidRPr="00E4462A">
        <w:rPr>
          <w:lang w:val="en-GB"/>
        </w:rPr>
        <w:t xml:space="preserve"> ppm</w:t>
      </w:r>
      <w:r w:rsidR="00E4489D" w:rsidRPr="00E4462A">
        <w:rPr>
          <w:lang w:val="en-GB"/>
        </w:rPr>
        <w:t xml:space="preserve">, respectively for </w:t>
      </w:r>
      <w:r w:rsidRPr="00E4462A">
        <w:rPr>
          <w:lang w:val="en-GB"/>
        </w:rPr>
        <w:t xml:space="preserve">section </w:t>
      </w:r>
      <w:r w:rsidR="001636FF" w:rsidRPr="00E4462A">
        <w:rPr>
          <w:lang w:val="en-GB"/>
        </w:rPr>
        <w:t xml:space="preserve">d </w:t>
      </w:r>
      <w:r w:rsidR="00E4489D" w:rsidRPr="00E4462A">
        <w:rPr>
          <w:lang w:val="en-GB"/>
        </w:rPr>
        <w:t xml:space="preserve">/ </w:t>
      </w:r>
      <w:r w:rsidR="001636FF" w:rsidRPr="00E4462A">
        <w:rPr>
          <w:lang w:val="en-GB"/>
        </w:rPr>
        <w:t xml:space="preserve">e </w:t>
      </w:r>
      <w:r w:rsidR="00E4489D" w:rsidRPr="00E4462A">
        <w:rPr>
          <w:lang w:val="en-GB"/>
        </w:rPr>
        <w:t xml:space="preserve">HSQC cross peaks; Fig. </w:t>
      </w:r>
      <w:r w:rsidR="00995B49" w:rsidRPr="00E4462A">
        <w:rPr>
          <w:lang w:val="en-GB"/>
        </w:rPr>
        <w:t>5</w:t>
      </w:r>
      <w:r w:rsidR="00AA36CE" w:rsidRPr="00E4462A">
        <w:rPr>
          <w:lang w:val="en-GB"/>
        </w:rPr>
        <w:t xml:space="preserve">; see also </w:t>
      </w:r>
      <w:r w:rsidR="00D11DAF" w:rsidRPr="00E4462A">
        <w:rPr>
          <w:lang w:val="en-GB"/>
        </w:rPr>
        <w:t xml:space="preserve">Fig. 8b in </w:t>
      </w:r>
      <w:r w:rsidR="00AA36CE" w:rsidRPr="00E4462A">
        <w:rPr>
          <w:lang w:val="en-GB"/>
        </w:rPr>
        <w:t>Hertkorn et al., 2013</w:t>
      </w:r>
      <w:r w:rsidR="00E4489D" w:rsidRPr="00E4462A">
        <w:rPr>
          <w:lang w:val="en-GB"/>
        </w:rPr>
        <w:t>)</w:t>
      </w:r>
      <w:r w:rsidRPr="00E4462A">
        <w:rPr>
          <w:lang w:val="en-GB"/>
        </w:rPr>
        <w:t xml:space="preserve">. </w:t>
      </w:r>
      <w:r w:rsidR="00287866" w:rsidRPr="00E4462A">
        <w:rPr>
          <w:rFonts w:cs="Arial"/>
          <w:lang w:val="en-GB"/>
        </w:rPr>
        <w:t>A wide variety of aliphatic and aromatic methylesters and methylethers were also found, the latter being virtually absent in marine SPE-DOM</w:t>
      </w:r>
      <w:r w:rsidR="001636FF" w:rsidRPr="00E4462A">
        <w:rPr>
          <w:rFonts w:cs="Arial"/>
          <w:lang w:val="en-GB"/>
        </w:rPr>
        <w:t>.</w:t>
      </w:r>
      <w:r w:rsidR="00287866" w:rsidRPr="00E4462A">
        <w:rPr>
          <w:rFonts w:cs="Arial"/>
          <w:lang w:val="en-GB"/>
        </w:rPr>
        <w:t xml:space="preserve"> </w:t>
      </w:r>
      <w:r w:rsidR="00287866" w:rsidRPr="00E4462A">
        <w:rPr>
          <w:lang w:val="en-GB"/>
        </w:rPr>
        <w:t>Here, aliphatic methyl esters were most abundant</w:t>
      </w:r>
      <w:r w:rsidR="00735B17" w:rsidRPr="00E4462A">
        <w:rPr>
          <w:lang w:val="en-GB"/>
        </w:rPr>
        <w:t xml:space="preserve"> (section g</w:t>
      </w:r>
      <w:r w:rsidR="00735B17" w:rsidRPr="00E4462A">
        <w:rPr>
          <w:vertAlign w:val="subscript"/>
          <w:lang w:val="en-GB"/>
        </w:rPr>
        <w:t>2</w:t>
      </w:r>
      <w:r w:rsidR="00735B17" w:rsidRPr="00E4462A">
        <w:rPr>
          <w:lang w:val="en-GB"/>
        </w:rPr>
        <w:t xml:space="preserve"> in Fig. </w:t>
      </w:r>
      <w:r w:rsidR="00995B49" w:rsidRPr="00E4462A">
        <w:rPr>
          <w:lang w:val="en-GB"/>
        </w:rPr>
        <w:t>5</w:t>
      </w:r>
      <w:r w:rsidR="00735B17" w:rsidRPr="00E4462A">
        <w:rPr>
          <w:lang w:val="en-GB"/>
        </w:rPr>
        <w:t>),</w:t>
      </w:r>
      <w:r w:rsidR="00287866" w:rsidRPr="00E4462A">
        <w:rPr>
          <w:lang w:val="en-GB"/>
        </w:rPr>
        <w:t xml:space="preserve"> aromatic methyl esters </w:t>
      </w:r>
      <w:r w:rsidR="00735B17" w:rsidRPr="00E4462A">
        <w:rPr>
          <w:lang w:val="en-GB"/>
        </w:rPr>
        <w:t>(section g</w:t>
      </w:r>
      <w:r w:rsidR="00735B17" w:rsidRPr="00E4462A">
        <w:rPr>
          <w:vertAlign w:val="subscript"/>
          <w:lang w:val="en-GB"/>
        </w:rPr>
        <w:t>3</w:t>
      </w:r>
      <w:r w:rsidR="00735B17" w:rsidRPr="00E4462A">
        <w:rPr>
          <w:lang w:val="en-GB"/>
        </w:rPr>
        <w:t xml:space="preserve"> in Fig. </w:t>
      </w:r>
      <w:r w:rsidR="00995B49" w:rsidRPr="00E4462A">
        <w:rPr>
          <w:lang w:val="en-GB"/>
        </w:rPr>
        <w:t>5</w:t>
      </w:r>
      <w:r w:rsidR="00735B17" w:rsidRPr="00E4462A">
        <w:rPr>
          <w:lang w:val="en-GB"/>
        </w:rPr>
        <w:t xml:space="preserve">) </w:t>
      </w:r>
      <w:r w:rsidR="00287866" w:rsidRPr="00E4462A">
        <w:rPr>
          <w:lang w:val="en-GB"/>
        </w:rPr>
        <w:t xml:space="preserve">and methyl ethers </w:t>
      </w:r>
      <w:r w:rsidR="00735B17" w:rsidRPr="00E4462A">
        <w:rPr>
          <w:lang w:val="en-GB"/>
        </w:rPr>
        <w:t>(section g</w:t>
      </w:r>
      <w:r w:rsidR="00735B17" w:rsidRPr="00E4462A">
        <w:rPr>
          <w:vertAlign w:val="subscript"/>
          <w:lang w:val="en-GB"/>
        </w:rPr>
        <w:t>4</w:t>
      </w:r>
      <w:r w:rsidR="00735B17" w:rsidRPr="00E4462A">
        <w:rPr>
          <w:lang w:val="en-GB"/>
        </w:rPr>
        <w:t xml:space="preserve"> in Fig. </w:t>
      </w:r>
      <w:r w:rsidR="00995B49" w:rsidRPr="00E4462A">
        <w:rPr>
          <w:lang w:val="en-GB"/>
        </w:rPr>
        <w:t>5</w:t>
      </w:r>
      <w:r w:rsidR="00735B17" w:rsidRPr="00E4462A">
        <w:rPr>
          <w:lang w:val="en-GB"/>
        </w:rPr>
        <w:t xml:space="preserve">); </w:t>
      </w:r>
      <w:r w:rsidR="00287866" w:rsidRPr="00E4462A">
        <w:rPr>
          <w:lang w:val="en-GB"/>
        </w:rPr>
        <w:t>were of similar abundance, and clearly recognizable aliphatic methyl ethers were also present (</w:t>
      </w:r>
      <w:r w:rsidR="00735B17" w:rsidRPr="00E4462A">
        <w:rPr>
          <w:lang w:val="en-GB"/>
        </w:rPr>
        <w:t>section g</w:t>
      </w:r>
      <w:r w:rsidR="00735B17" w:rsidRPr="00E4462A">
        <w:rPr>
          <w:vertAlign w:val="subscript"/>
          <w:lang w:val="en-GB"/>
        </w:rPr>
        <w:t>5</w:t>
      </w:r>
      <w:r w:rsidR="00735B17" w:rsidRPr="00E4462A">
        <w:rPr>
          <w:lang w:val="en-GB"/>
        </w:rPr>
        <w:t xml:space="preserve"> in Fig. </w:t>
      </w:r>
      <w:r w:rsidR="00995B49" w:rsidRPr="00E4462A">
        <w:rPr>
          <w:lang w:val="en-GB"/>
        </w:rPr>
        <w:t>5</w:t>
      </w:r>
      <w:r w:rsidR="00735B17" w:rsidRPr="00E4462A">
        <w:rPr>
          <w:lang w:val="en-GB"/>
        </w:rPr>
        <w:t>)</w:t>
      </w:r>
      <w:r w:rsidR="00287866" w:rsidRPr="00E4462A">
        <w:rPr>
          <w:lang w:val="en-GB"/>
        </w:rPr>
        <w:t xml:space="preserve">. </w:t>
      </w:r>
      <w:r w:rsidRPr="00E4462A">
        <w:rPr>
          <w:lang w:val="en-GB"/>
        </w:rPr>
        <w:t>Oxomethylene (O</w:t>
      </w:r>
      <w:r w:rsidRPr="00E4462A">
        <w:rPr>
          <w:b/>
          <w:u w:val="single"/>
          <w:lang w:val="en-GB"/>
        </w:rPr>
        <w:t>CH</w:t>
      </w:r>
      <w:r w:rsidRPr="00E4462A">
        <w:rPr>
          <w:b/>
          <w:u w:val="single"/>
          <w:vertAlign w:val="subscript"/>
          <w:lang w:val="en-GB"/>
        </w:rPr>
        <w:t>2</w:t>
      </w:r>
      <w:r w:rsidRPr="00E4462A">
        <w:rPr>
          <w:lang w:val="en-GB"/>
        </w:rPr>
        <w:t xml:space="preserve">) occurred in the form of carbohydrate side chains </w:t>
      </w:r>
      <w:r w:rsidR="00D11DAF" w:rsidRPr="00E4462A">
        <w:rPr>
          <w:lang w:val="en-GB"/>
        </w:rPr>
        <w:t xml:space="preserve">(section h; Fig. </w:t>
      </w:r>
      <w:r w:rsidR="00995B49" w:rsidRPr="00E4462A">
        <w:rPr>
          <w:lang w:val="en-GB"/>
        </w:rPr>
        <w:t>5</w:t>
      </w:r>
      <w:r w:rsidR="00D11DAF" w:rsidRPr="00E4462A">
        <w:rPr>
          <w:lang w:val="en-GB"/>
        </w:rPr>
        <w:t xml:space="preserve">), </w:t>
      </w:r>
      <w:r w:rsidRPr="00E4462A">
        <w:rPr>
          <w:lang w:val="en-GB"/>
        </w:rPr>
        <w:t xml:space="preserve">and </w:t>
      </w:r>
      <w:r w:rsidR="00D11DAF" w:rsidRPr="00E4462A">
        <w:rPr>
          <w:lang w:val="en-GB"/>
        </w:rPr>
        <w:t>a</w:t>
      </w:r>
      <w:r w:rsidRPr="00E4462A">
        <w:rPr>
          <w:lang w:val="en-GB"/>
        </w:rPr>
        <w:t xml:space="preserve"> remarkable set of aliphatic oxomethylene (OCH</w:t>
      </w:r>
      <w:r w:rsidRPr="00E4462A">
        <w:rPr>
          <w:vertAlign w:val="subscript"/>
          <w:lang w:val="en-GB"/>
        </w:rPr>
        <w:t>2</w:t>
      </w:r>
      <w:r w:rsidRPr="00E4462A">
        <w:rPr>
          <w:lang w:val="en-GB"/>
        </w:rPr>
        <w:t>) HSQC cross peaks (</w:t>
      </w:r>
      <w:r w:rsidR="00D11DAF" w:rsidRPr="00E4462A">
        <w:rPr>
          <w:rFonts w:ascii="Symbol" w:hAnsi="Symbol"/>
          <w:lang w:val="en-US"/>
        </w:rPr>
        <w:t></w:t>
      </w:r>
      <w:r w:rsidR="00D11DAF" w:rsidRPr="00E4462A">
        <w:rPr>
          <w:rFonts w:ascii="Symbol" w:hAnsi="Symbol"/>
          <w:vertAlign w:val="subscript"/>
          <w:lang w:val="en-US"/>
        </w:rPr>
        <w:t></w:t>
      </w:r>
      <w:r w:rsidR="00D11DAF" w:rsidRPr="00E4462A">
        <w:rPr>
          <w:rFonts w:ascii="Symbol" w:hAnsi="Symbol"/>
          <w:vertAlign w:val="subscript"/>
          <w:lang w:val="en-US"/>
        </w:rPr>
        <w:t></w:t>
      </w:r>
      <w:r w:rsidR="00D11DAF" w:rsidRPr="00E4462A">
        <w:rPr>
          <w:vertAlign w:val="subscript"/>
          <w:lang w:val="en-US"/>
        </w:rPr>
        <w:t>C</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lang w:val="en-GB"/>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lang w:val="en-GB"/>
        </w:rPr>
        <w:t xml:space="preserve">- </w:t>
      </w:r>
      <w:r w:rsidR="00D11DAF" w:rsidRPr="00E4462A">
        <w:rPr>
          <w:rFonts w:ascii="Symbol" w:hAnsi="Symbol"/>
          <w:lang w:val="en-US"/>
        </w:rPr>
        <w:t></w:t>
      </w:r>
      <w:r w:rsidR="00D11DAF" w:rsidRPr="00E4462A">
        <w:rPr>
          <w:rFonts w:ascii="Symbol" w:hAnsi="Symbol"/>
          <w:lang w:val="en-US"/>
        </w:rPr>
        <w:t></w:t>
      </w:r>
      <w:r w:rsidR="00D11DAF" w:rsidRPr="00E4462A">
        <w:rPr>
          <w:rFonts w:ascii="Symbol" w:hAnsi="Symbol"/>
          <w:lang w:val="en-US"/>
        </w:rPr>
        <w:t></w:t>
      </w:r>
      <w:r w:rsidR="00D11DAF" w:rsidRPr="00E4462A">
        <w:rPr>
          <w:lang w:val="en-US"/>
        </w:rPr>
        <w:t>ppm</w:t>
      </w:r>
      <w:r w:rsidR="00F443B5" w:rsidRPr="00E4462A">
        <w:rPr>
          <w:lang w:val="en-US"/>
        </w:rPr>
        <w:t xml:space="preserve">; </w:t>
      </w:r>
      <w:r w:rsidR="00D11DAF" w:rsidRPr="00E4462A">
        <w:rPr>
          <w:lang w:val="en-US"/>
        </w:rPr>
        <w:t>section j</w:t>
      </w:r>
      <w:r w:rsidR="00F443B5" w:rsidRPr="00E4462A">
        <w:rPr>
          <w:lang w:val="en-US"/>
        </w:rPr>
        <w:t xml:space="preserve"> in </w:t>
      </w:r>
      <w:r w:rsidR="00D11DAF" w:rsidRPr="00E4462A">
        <w:rPr>
          <w:lang w:val="en-US"/>
        </w:rPr>
        <w:t xml:space="preserve">Fig. </w:t>
      </w:r>
      <w:r w:rsidR="00995B49" w:rsidRPr="00E4462A">
        <w:rPr>
          <w:lang w:val="en-US"/>
        </w:rPr>
        <w:t>5</w:t>
      </w:r>
      <w:r w:rsidR="00D11DAF" w:rsidRPr="00E4462A">
        <w:rPr>
          <w:lang w:val="en-US"/>
        </w:rPr>
        <w:t>)</w:t>
      </w:r>
      <w:r w:rsidR="00D11DAF" w:rsidRPr="00E4462A">
        <w:rPr>
          <w:lang w:val="en-GB"/>
        </w:rPr>
        <w:t xml:space="preserve"> was</w:t>
      </w:r>
      <w:r w:rsidRPr="00E4462A">
        <w:rPr>
          <w:lang w:val="en-GB"/>
        </w:rPr>
        <w:t xml:space="preserve"> present in SPE-DOM FCE-S, which does not correspond to common lignin β-aryl ether units, which resonate in this </w:t>
      </w:r>
      <w:r w:rsidRPr="00E4462A">
        <w:rPr>
          <w:vertAlign w:val="superscript"/>
          <w:lang w:val="en-GB"/>
        </w:rPr>
        <w:t>1</w:t>
      </w:r>
      <w:r w:rsidRPr="00E4462A">
        <w:rPr>
          <w:lang w:val="en-GB"/>
        </w:rPr>
        <w:t xml:space="preserve">H and </w:t>
      </w:r>
      <w:r w:rsidRPr="00E4462A">
        <w:rPr>
          <w:vertAlign w:val="superscript"/>
          <w:lang w:val="en-GB"/>
        </w:rPr>
        <w:t>13</w:t>
      </w:r>
      <w:r w:rsidRPr="00E4462A">
        <w:rPr>
          <w:lang w:val="en-GB"/>
        </w:rPr>
        <w:t>C NMR chemical shift range, but commonly comprise C</w:t>
      </w:r>
      <w:r w:rsidRPr="00E4462A">
        <w:rPr>
          <w:vertAlign w:val="subscript"/>
          <w:lang w:val="en-GB"/>
        </w:rPr>
        <w:t>ar</w:t>
      </w:r>
      <w:r w:rsidRPr="00E4462A">
        <w:rPr>
          <w:lang w:val="en-GB"/>
        </w:rPr>
        <w:t>-</w:t>
      </w:r>
      <w:r w:rsidRPr="00E4462A">
        <w:rPr>
          <w:b/>
          <w:u w:val="single"/>
          <w:lang w:val="en-GB"/>
        </w:rPr>
        <w:t>CH</w:t>
      </w:r>
      <w:r w:rsidRPr="00E4462A">
        <w:rPr>
          <w:lang w:val="en-GB"/>
        </w:rPr>
        <w:t>-O-</w:t>
      </w:r>
      <w:r w:rsidR="00735B17" w:rsidRPr="00E4462A">
        <w:rPr>
          <w:lang w:val="en-GB"/>
        </w:rPr>
        <w:t xml:space="preserve">, i.e. methine </w:t>
      </w:r>
      <w:r w:rsidRPr="00E4462A">
        <w:rPr>
          <w:lang w:val="en-GB"/>
        </w:rPr>
        <w:t xml:space="preserve">substructures. </w:t>
      </w:r>
      <w:r w:rsidR="00F443B5" w:rsidRPr="00E4462A">
        <w:rPr>
          <w:lang w:val="en-GB"/>
        </w:rPr>
        <w:t>Analogous</w:t>
      </w:r>
      <w:r w:rsidRPr="00E4462A">
        <w:rPr>
          <w:lang w:val="en-GB"/>
        </w:rPr>
        <w:t xml:space="preserve"> oxomethin</w:t>
      </w:r>
      <w:r w:rsidR="00735B17" w:rsidRPr="00E4462A">
        <w:rPr>
          <w:lang w:val="en-GB"/>
        </w:rPr>
        <w:t>e</w:t>
      </w:r>
      <w:r w:rsidRPr="00E4462A">
        <w:rPr>
          <w:lang w:val="en-GB"/>
        </w:rPr>
        <w:t xml:space="preserve"> substructures are also found in phenylcoumaran, resinol and dibenzodioxocin units as well, whereas oxomethylene units with </w:t>
      </w:r>
      <w:r w:rsidR="00D11DAF" w:rsidRPr="00E4462A">
        <w:rPr>
          <w:rFonts w:ascii="Symbol" w:hAnsi="Symbol"/>
          <w:lang w:val="en-US"/>
        </w:rPr>
        <w:t></w:t>
      </w:r>
      <w:r w:rsidR="00D11DAF" w:rsidRPr="00E4462A">
        <w:rPr>
          <w:rFonts w:ascii="Symbol" w:hAnsi="Symbol"/>
          <w:vertAlign w:val="subscript"/>
          <w:lang w:val="en-US"/>
        </w:rPr>
        <w:t></w:t>
      </w:r>
      <w:r w:rsidR="00995B49" w:rsidRPr="00E4462A">
        <w:rPr>
          <w:rFonts w:ascii="Symbol" w:hAnsi="Symbol"/>
          <w:lang w:val="en-US"/>
        </w:rPr>
        <w:t></w:t>
      </w:r>
      <w:r w:rsidR="00D11DAF" w:rsidRPr="00E4462A">
        <w:rPr>
          <w:rFonts w:ascii="Symbol" w:hAnsi="Symbol"/>
          <w:lang w:val="en-US"/>
        </w:rPr>
        <w:t></w:t>
      </w:r>
      <w:r w:rsidR="00D11DAF" w:rsidRPr="00E4462A">
        <w:rPr>
          <w:lang w:val="en-US"/>
        </w:rPr>
        <w:t xml:space="preserve"> </w:t>
      </w:r>
      <w:r w:rsidRPr="00E4462A">
        <w:rPr>
          <w:lang w:val="en-US"/>
        </w:rPr>
        <w:t>4.5 are rare in common lignins</w:t>
      </w:r>
      <w:r w:rsidR="00B02715" w:rsidRPr="00E4462A">
        <w:rPr>
          <w:lang w:val="en-US"/>
        </w:rPr>
        <w:t xml:space="preserve"> </w:t>
      </w:r>
      <w:r w:rsidR="00B02715" w:rsidRPr="00E4462A">
        <w:rPr>
          <w:lang w:val="en-GB"/>
        </w:rPr>
        <w:t>(</w:t>
      </w:r>
      <w:r w:rsidR="006A59F5" w:rsidRPr="00E4462A">
        <w:rPr>
          <w:lang w:val="en-GB"/>
        </w:rPr>
        <w:t xml:space="preserve">Ralph et al., 1998; </w:t>
      </w:r>
      <w:r w:rsidR="00B02715" w:rsidRPr="00E4462A">
        <w:rPr>
          <w:lang w:val="en-GB"/>
        </w:rPr>
        <w:t>Yelle et al., 2008</w:t>
      </w:r>
      <w:r w:rsidR="00A7627F" w:rsidRPr="00E4462A">
        <w:rPr>
          <w:lang w:val="en-GB"/>
        </w:rPr>
        <w:t>; Martinez et al., 2008; Wen et al., 2013; Yuan et al., 2011</w:t>
      </w:r>
      <w:r w:rsidR="00251E21" w:rsidRPr="00E4462A">
        <w:rPr>
          <w:lang w:val="en-GB"/>
        </w:rPr>
        <w:t>).</w:t>
      </w:r>
      <w:r w:rsidR="001D597E" w:rsidRPr="00E4462A">
        <w:rPr>
          <w:lang w:val="en-GB"/>
        </w:rPr>
        <w:t xml:space="preserve"> </w:t>
      </w:r>
      <w:r w:rsidR="00EB5AC8" w:rsidRPr="00E4462A">
        <w:rPr>
          <w:lang w:val="en-US"/>
        </w:rPr>
        <w:t xml:space="preserve">This peculiar HSQC cross peak was discovered in FCE-S wetland SPE-DOM </w:t>
      </w:r>
      <w:r w:rsidR="00A7627F" w:rsidRPr="00E4462A">
        <w:rPr>
          <w:lang w:val="en-US"/>
        </w:rPr>
        <w:t xml:space="preserve">(section j HSQC cross peak in Fig. </w:t>
      </w:r>
      <w:r w:rsidR="00995B49" w:rsidRPr="00E4462A">
        <w:rPr>
          <w:lang w:val="en-US"/>
        </w:rPr>
        <w:t>5</w:t>
      </w:r>
      <w:r w:rsidR="00A7627F" w:rsidRPr="00E4462A">
        <w:rPr>
          <w:lang w:val="en-US"/>
        </w:rPr>
        <w:t xml:space="preserve">) </w:t>
      </w:r>
      <w:r w:rsidR="00EB5AC8" w:rsidRPr="00E4462A">
        <w:rPr>
          <w:lang w:val="en-US"/>
        </w:rPr>
        <w:t xml:space="preserve">but since then has also been observed </w:t>
      </w:r>
      <w:r w:rsidR="00735B17" w:rsidRPr="00E4462A">
        <w:rPr>
          <w:lang w:val="en-US"/>
        </w:rPr>
        <w:t xml:space="preserve">(in retrospect) </w:t>
      </w:r>
      <w:r w:rsidR="00EB5AC8" w:rsidRPr="00E4462A">
        <w:rPr>
          <w:lang w:val="en-US"/>
        </w:rPr>
        <w:t xml:space="preserve">with lesser distinction in other SPE-DOM including those from marine sources. The singular positioning </w:t>
      </w:r>
      <w:r w:rsidR="00995B49" w:rsidRPr="00E4462A">
        <w:rPr>
          <w:lang w:val="en-US"/>
        </w:rPr>
        <w:t xml:space="preserve">of a methylene group </w:t>
      </w:r>
      <w:r w:rsidR="00EB5AC8" w:rsidRPr="00E4462A">
        <w:rPr>
          <w:lang w:val="en-US"/>
        </w:rPr>
        <w:t xml:space="preserve">in the </w:t>
      </w:r>
      <w:r w:rsidR="00EB5AC8" w:rsidRPr="00E4462A">
        <w:rPr>
          <w:vertAlign w:val="superscript"/>
          <w:lang w:val="en-US"/>
        </w:rPr>
        <w:t>1</w:t>
      </w:r>
      <w:r w:rsidR="00EB5AC8" w:rsidRPr="00E4462A">
        <w:rPr>
          <w:lang w:val="en-US"/>
        </w:rPr>
        <w:t xml:space="preserve">H and </w:t>
      </w:r>
      <w:r w:rsidR="00EB5AC8" w:rsidRPr="00E4462A">
        <w:rPr>
          <w:vertAlign w:val="superscript"/>
          <w:lang w:val="en-US"/>
        </w:rPr>
        <w:t>13</w:t>
      </w:r>
      <w:r w:rsidR="00EB5AC8" w:rsidRPr="00E4462A">
        <w:rPr>
          <w:lang w:val="en-US"/>
        </w:rPr>
        <w:t>C NMR chemical shift space strongly restrains the potential diversity of its chemical environments: it has to represent a OCH</w:t>
      </w:r>
      <w:r w:rsidR="00EB5AC8" w:rsidRPr="00E4462A">
        <w:rPr>
          <w:vertAlign w:val="subscript"/>
          <w:lang w:val="en-US"/>
        </w:rPr>
        <w:t>2</w:t>
      </w:r>
      <w:r w:rsidR="00EB5AC8" w:rsidRPr="00E4462A">
        <w:rPr>
          <w:lang w:val="en-US"/>
        </w:rPr>
        <w:t xml:space="preserve"> group (methylene as defined by the phase in </w:t>
      </w:r>
      <w:r w:rsidR="00EB5AC8" w:rsidRPr="00E4462A">
        <w:rPr>
          <w:vertAlign w:val="superscript"/>
          <w:lang w:val="en-US"/>
        </w:rPr>
        <w:t>1</w:t>
      </w:r>
      <w:r w:rsidR="00EB5AC8" w:rsidRPr="00E4462A">
        <w:rPr>
          <w:lang w:val="en-US"/>
        </w:rPr>
        <w:t xml:space="preserve">H, </w:t>
      </w:r>
      <w:r w:rsidR="00EB5AC8" w:rsidRPr="00E4462A">
        <w:rPr>
          <w:vertAlign w:val="superscript"/>
          <w:lang w:val="en-US"/>
        </w:rPr>
        <w:t>13</w:t>
      </w:r>
      <w:r w:rsidR="00EB5AC8" w:rsidRPr="00E4462A">
        <w:rPr>
          <w:lang w:val="en-US"/>
        </w:rPr>
        <w:t xml:space="preserve">C DEPT HSQC NMR spectra; single oxygen because of </w:t>
      </w:r>
      <w:r w:rsidR="00EB5AC8" w:rsidRPr="00E4462A">
        <w:rPr>
          <w:rFonts w:ascii="Symbol" w:hAnsi="Symbol"/>
          <w:lang w:val="en-US"/>
        </w:rPr>
        <w:t></w:t>
      </w:r>
      <w:r w:rsidR="00EB5AC8" w:rsidRPr="00E4462A">
        <w:rPr>
          <w:vertAlign w:val="subscript"/>
          <w:lang w:val="en-US"/>
        </w:rPr>
        <w:t>C</w:t>
      </w:r>
      <w:r w:rsidR="00EB5AC8" w:rsidRPr="00E4462A">
        <w:rPr>
          <w:lang w:val="en-US"/>
        </w:rPr>
        <w:t>: any O-CH</w:t>
      </w:r>
      <w:r w:rsidR="00EB5AC8" w:rsidRPr="00E4462A">
        <w:rPr>
          <w:vertAlign w:val="subscript"/>
          <w:lang w:val="en-US"/>
        </w:rPr>
        <w:t>2</w:t>
      </w:r>
      <w:r w:rsidR="00EB5AC8" w:rsidRPr="00E4462A">
        <w:rPr>
          <w:lang w:val="en-US"/>
        </w:rPr>
        <w:t xml:space="preserve">-O environment would resonate at </w:t>
      </w:r>
      <w:r w:rsidR="00EB5AC8" w:rsidRPr="00E4462A">
        <w:rPr>
          <w:rFonts w:ascii="Symbol" w:hAnsi="Symbol"/>
          <w:lang w:val="en-US"/>
        </w:rPr>
        <w:t></w:t>
      </w:r>
      <w:r w:rsidR="00EB5AC8" w:rsidRPr="00E4462A">
        <w:rPr>
          <w:vertAlign w:val="subscript"/>
          <w:lang w:val="en-US"/>
        </w:rPr>
        <w:t>C</w:t>
      </w:r>
      <w:r w:rsidR="00EB5AC8" w:rsidRPr="00E4462A">
        <w:rPr>
          <w:lang w:val="en-US"/>
        </w:rPr>
        <w:t xml:space="preserve"> &gt; 90 ppm</w:t>
      </w:r>
      <w:r w:rsidR="00995B49" w:rsidRPr="00E4462A">
        <w:rPr>
          <w:lang w:val="en-US"/>
        </w:rPr>
        <w:t>). S</w:t>
      </w:r>
      <w:r w:rsidR="00EB5AC8" w:rsidRPr="00E4462A">
        <w:rPr>
          <w:lang w:val="en-US"/>
        </w:rPr>
        <w:t>imilarly, common O-CH</w:t>
      </w:r>
      <w:r w:rsidR="00EB5AC8" w:rsidRPr="00E4462A">
        <w:rPr>
          <w:vertAlign w:val="subscript"/>
          <w:lang w:val="en-US"/>
        </w:rPr>
        <w:t>2</w:t>
      </w:r>
      <w:r w:rsidR="00EB5AC8" w:rsidRPr="00E4462A">
        <w:rPr>
          <w:lang w:val="en-US"/>
        </w:rPr>
        <w:t>-N chemical environment</w:t>
      </w:r>
      <w:r w:rsidR="00735B17" w:rsidRPr="00E4462A">
        <w:rPr>
          <w:lang w:val="en-US"/>
        </w:rPr>
        <w:t>s</w:t>
      </w:r>
      <w:r w:rsidR="00EB5AC8" w:rsidRPr="00E4462A">
        <w:rPr>
          <w:lang w:val="en-US"/>
        </w:rPr>
        <w:t xml:space="preserve"> would resonate at higher field than observed in both </w:t>
      </w:r>
      <w:r w:rsidR="00EB5AC8" w:rsidRPr="00E4462A">
        <w:rPr>
          <w:rFonts w:ascii="Symbol" w:hAnsi="Symbol"/>
          <w:lang w:val="en-US"/>
        </w:rPr>
        <w:t></w:t>
      </w:r>
      <w:r w:rsidR="00EB5AC8" w:rsidRPr="00E4462A">
        <w:rPr>
          <w:vertAlign w:val="subscript"/>
          <w:lang w:val="en-US"/>
        </w:rPr>
        <w:t>H/C</w:t>
      </w:r>
      <w:r w:rsidR="00EB5AC8" w:rsidRPr="00E4462A">
        <w:rPr>
          <w:lang w:val="en-US"/>
        </w:rPr>
        <w:t>, but cannot be excluded entirely in case of peculiar remote substitution. The most plausible substructure is OCH</w:t>
      </w:r>
      <w:r w:rsidR="00EB5AC8" w:rsidRPr="00E4462A">
        <w:rPr>
          <w:vertAlign w:val="subscript"/>
          <w:lang w:val="en-US"/>
        </w:rPr>
        <w:t>2</w:t>
      </w:r>
      <w:r w:rsidR="00EB5AC8" w:rsidRPr="00E4462A">
        <w:rPr>
          <w:lang w:val="en-US"/>
        </w:rPr>
        <w:t xml:space="preserve">C; then, </w:t>
      </w:r>
      <w:r w:rsidR="00EB5AC8" w:rsidRPr="00E4462A">
        <w:rPr>
          <w:rFonts w:ascii="Symbol" w:hAnsi="Symbol"/>
          <w:lang w:val="en-US"/>
        </w:rPr>
        <w:t></w:t>
      </w:r>
      <w:r w:rsidR="00EB5AC8" w:rsidRPr="00E4462A">
        <w:rPr>
          <w:vertAlign w:val="subscript"/>
          <w:lang w:val="en-US"/>
        </w:rPr>
        <w:t>H</w:t>
      </w:r>
      <w:r w:rsidR="00EB5AC8" w:rsidRPr="00E4462A">
        <w:rPr>
          <w:lang w:val="en-US"/>
        </w:rPr>
        <w:t xml:space="preserve"> from 5.3 – 5.7 ppm warrants presence of an ester group: this implies a </w:t>
      </w:r>
      <w:r w:rsidR="00E16D1C" w:rsidRPr="00E4462A">
        <w:rPr>
          <w:lang w:val="en-US"/>
        </w:rPr>
        <w:t>-</w:t>
      </w:r>
      <w:r w:rsidR="00EB5AC8" w:rsidRPr="00E4462A">
        <w:rPr>
          <w:lang w:val="en-US"/>
        </w:rPr>
        <w:t>C-(C=O)-O-CH</w:t>
      </w:r>
      <w:r w:rsidR="00EB5AC8" w:rsidRPr="00E4462A">
        <w:rPr>
          <w:vertAlign w:val="subscript"/>
          <w:lang w:val="en-US"/>
        </w:rPr>
        <w:t>2</w:t>
      </w:r>
      <w:r w:rsidR="00EB5AC8" w:rsidRPr="00E4462A">
        <w:rPr>
          <w:lang w:val="en-US"/>
        </w:rPr>
        <w:t xml:space="preserve">-C substructure. However, </w:t>
      </w:r>
      <w:r w:rsidR="00EB5AC8" w:rsidRPr="00E4462A">
        <w:rPr>
          <w:lang w:val="en-US"/>
        </w:rPr>
        <w:lastRenderedPageBreak/>
        <w:t xml:space="preserve">alkylation alone will not produce the necessary low field </w:t>
      </w:r>
      <w:r w:rsidR="00EB5AC8" w:rsidRPr="00E4462A">
        <w:rPr>
          <w:rFonts w:ascii="Symbol" w:hAnsi="Symbol"/>
          <w:lang w:val="en-US"/>
        </w:rPr>
        <w:t></w:t>
      </w:r>
      <w:r w:rsidR="00EB5AC8" w:rsidRPr="00E4462A">
        <w:rPr>
          <w:vertAlign w:val="subscript"/>
          <w:lang w:val="en-US"/>
        </w:rPr>
        <w:t>H</w:t>
      </w:r>
      <w:r w:rsidR="00EB5AC8" w:rsidRPr="00E4462A">
        <w:rPr>
          <w:lang w:val="en-US"/>
        </w:rPr>
        <w:t xml:space="preserve"> observed. This leaves -C-(C=O)-O-CH</w:t>
      </w:r>
      <w:r w:rsidR="00EB5AC8" w:rsidRPr="00E4462A">
        <w:rPr>
          <w:vertAlign w:val="subscript"/>
          <w:lang w:val="en-US"/>
        </w:rPr>
        <w:t>2</w:t>
      </w:r>
      <w:r w:rsidR="00EB5AC8" w:rsidRPr="00E4462A">
        <w:rPr>
          <w:lang w:val="en-US"/>
        </w:rPr>
        <w:t>-C=O as a plausible group; possibly confined with a carboxylic group such as -C-(C=O)-O-CH</w:t>
      </w:r>
      <w:r w:rsidR="00EB5AC8" w:rsidRPr="00E4462A">
        <w:rPr>
          <w:vertAlign w:val="subscript"/>
          <w:lang w:val="en-US"/>
        </w:rPr>
        <w:t>2</w:t>
      </w:r>
      <w:r w:rsidR="00EB5AC8" w:rsidRPr="00E4462A">
        <w:rPr>
          <w:lang w:val="en-US"/>
        </w:rPr>
        <w:t>-COOH or as an ester –C-(C=O)-O-CH</w:t>
      </w:r>
      <w:r w:rsidR="00EB5AC8" w:rsidRPr="00E4462A">
        <w:rPr>
          <w:vertAlign w:val="subscript"/>
          <w:lang w:val="en-US"/>
        </w:rPr>
        <w:t>2</w:t>
      </w:r>
      <w:r w:rsidR="00EB5AC8" w:rsidRPr="00E4462A">
        <w:rPr>
          <w:lang w:val="en-US"/>
        </w:rPr>
        <w:t>-COOR. Both these substructures have a decent propensity to form enols with variable double bond character -C-(C=O)-O-CH=CH(OH)</w:t>
      </w:r>
      <w:r w:rsidR="00EB5AC8" w:rsidRPr="00E4462A">
        <w:rPr>
          <w:vertAlign w:val="subscript"/>
          <w:lang w:val="en-US"/>
        </w:rPr>
        <w:t>2</w:t>
      </w:r>
      <w:r w:rsidR="00EB5AC8" w:rsidRPr="00E4462A">
        <w:rPr>
          <w:lang w:val="en-US"/>
        </w:rPr>
        <w:t xml:space="preserve">. A partial double bond character, which might be possibly controlled by mutual interactions in the complex </w:t>
      </w:r>
      <w:r w:rsidR="00E30E26" w:rsidRPr="00E4462A">
        <w:rPr>
          <w:lang w:val="en-US"/>
        </w:rPr>
        <w:t xml:space="preserve">DOM </w:t>
      </w:r>
      <w:r w:rsidR="00EB5AC8" w:rsidRPr="00E4462A">
        <w:rPr>
          <w:lang w:val="en-US"/>
        </w:rPr>
        <w:t xml:space="preserve">mixture of molecules, would also explain the observed spread of chemical shift in </w:t>
      </w:r>
      <w:r w:rsidR="00EB5AC8" w:rsidRPr="00E4462A">
        <w:rPr>
          <w:vertAlign w:val="superscript"/>
          <w:lang w:val="en-US"/>
        </w:rPr>
        <w:t>1</w:t>
      </w:r>
      <w:r w:rsidR="00EB5AC8" w:rsidRPr="00E4462A">
        <w:rPr>
          <w:lang w:val="en-US"/>
        </w:rPr>
        <w:t xml:space="preserve">H and </w:t>
      </w:r>
      <w:r w:rsidR="00EB5AC8" w:rsidRPr="00E4462A">
        <w:rPr>
          <w:vertAlign w:val="superscript"/>
          <w:lang w:val="en-US"/>
        </w:rPr>
        <w:t>13</w:t>
      </w:r>
      <w:r w:rsidR="00EB5AC8" w:rsidRPr="00E4462A">
        <w:rPr>
          <w:lang w:val="en-US"/>
        </w:rPr>
        <w:t>C NMR frequencies in this HSQC cross peak even if the methylene group itself in -C-(C=O)-O-CH</w:t>
      </w:r>
      <w:r w:rsidR="00EB5AC8" w:rsidRPr="00E4462A">
        <w:rPr>
          <w:vertAlign w:val="subscript"/>
          <w:lang w:val="en-US"/>
        </w:rPr>
        <w:t>2</w:t>
      </w:r>
      <w:r w:rsidR="00EB5AC8" w:rsidRPr="00E4462A">
        <w:rPr>
          <w:lang w:val="en-US"/>
        </w:rPr>
        <w:t>-COOH is four (carbon) or five (proton) bonds away from the most proximate atom position where substitution may affect its chemical shift.</w:t>
      </w:r>
    </w:p>
    <w:p w14:paraId="07B5313F" w14:textId="547A9D30" w:rsidR="006F391D" w:rsidRPr="00E4462A" w:rsidRDefault="00EB5AC8" w:rsidP="008B22B1">
      <w:pPr>
        <w:spacing w:line="360" w:lineRule="auto"/>
        <w:ind w:firstLine="708"/>
        <w:jc w:val="both"/>
        <w:rPr>
          <w:lang w:val="en-US"/>
        </w:rPr>
      </w:pPr>
      <w:r w:rsidRPr="00E4462A">
        <w:rPr>
          <w:lang w:val="en-US"/>
        </w:rPr>
        <w:t xml:space="preserve">Several thousands of acid and ester derivatives of acetoacetic acid </w:t>
      </w:r>
      <w:r w:rsidR="00D87045" w:rsidRPr="00E4462A">
        <w:rPr>
          <w:lang w:val="en-US"/>
        </w:rPr>
        <w:t>[</w:t>
      </w:r>
      <w:r w:rsidRPr="00E4462A">
        <w:rPr>
          <w:lang w:val="en-US"/>
        </w:rPr>
        <w:t>H</w:t>
      </w:r>
      <w:r w:rsidRPr="00E4462A">
        <w:rPr>
          <w:vertAlign w:val="subscript"/>
          <w:lang w:val="en-US"/>
        </w:rPr>
        <w:t>3</w:t>
      </w:r>
      <w:r w:rsidRPr="00E4462A">
        <w:rPr>
          <w:lang w:val="en-US"/>
        </w:rPr>
        <w:t>C-(C=O)-O-CH</w:t>
      </w:r>
      <w:r w:rsidRPr="00E4462A">
        <w:rPr>
          <w:vertAlign w:val="subscript"/>
          <w:lang w:val="en-US"/>
        </w:rPr>
        <w:t>2</w:t>
      </w:r>
      <w:r w:rsidRPr="00E4462A">
        <w:rPr>
          <w:lang w:val="en-US"/>
        </w:rPr>
        <w:t>-COOH</w:t>
      </w:r>
      <w:r w:rsidR="00D87045" w:rsidRPr="00E4462A">
        <w:rPr>
          <w:lang w:val="en-US"/>
        </w:rPr>
        <w:t>]</w:t>
      </w:r>
      <w:r w:rsidRPr="00E4462A">
        <w:rPr>
          <w:lang w:val="en-US"/>
        </w:rPr>
        <w:t xml:space="preserve"> are known in literature. Here, many of the common esters comprise lipid substructures such as n-alkanes, sterane and other polyalicyclic hydrocarbons, trimethylammonium salts, among others, suggesting </w:t>
      </w:r>
      <w:r w:rsidR="00D87045" w:rsidRPr="00E4462A">
        <w:rPr>
          <w:lang w:val="en-US"/>
        </w:rPr>
        <w:t xml:space="preserve">a </w:t>
      </w:r>
      <w:r w:rsidRPr="00E4462A">
        <w:rPr>
          <w:lang w:val="en-US"/>
        </w:rPr>
        <w:t>natural origin of these compounds also in wetland SPE-DOM. While substructures with –O-CH</w:t>
      </w:r>
      <w:r w:rsidRPr="00E4462A">
        <w:rPr>
          <w:vertAlign w:val="subscript"/>
          <w:lang w:val="en-US"/>
        </w:rPr>
        <w:t>2</w:t>
      </w:r>
      <w:r w:rsidRPr="00E4462A">
        <w:rPr>
          <w:lang w:val="en-US"/>
        </w:rPr>
        <w:t>-COOZ (Z: H, R) will produce distinct “oxomethylene (O</w:t>
      </w:r>
      <w:r w:rsidRPr="00E4462A">
        <w:rPr>
          <w:b/>
          <w:u w:val="single"/>
          <w:lang w:val="en-US"/>
        </w:rPr>
        <w:t>CH</w:t>
      </w:r>
      <w:r w:rsidRPr="00E4462A">
        <w:rPr>
          <w:b/>
          <w:u w:val="single"/>
          <w:vertAlign w:val="subscript"/>
          <w:lang w:val="en-US"/>
        </w:rPr>
        <w:t>2</w:t>
      </w:r>
      <w:r w:rsidRPr="00E4462A">
        <w:rPr>
          <w:lang w:val="en-US"/>
        </w:rPr>
        <w:t xml:space="preserve">C)” cross peaks in </w:t>
      </w:r>
      <w:r w:rsidRPr="00E4462A">
        <w:rPr>
          <w:vertAlign w:val="superscript"/>
          <w:lang w:val="en-US"/>
        </w:rPr>
        <w:t>1</w:t>
      </w:r>
      <w:r w:rsidRPr="00E4462A">
        <w:rPr>
          <w:lang w:val="en-US"/>
        </w:rPr>
        <w:t xml:space="preserve">H, </w:t>
      </w:r>
      <w:r w:rsidRPr="00E4462A">
        <w:rPr>
          <w:vertAlign w:val="superscript"/>
          <w:lang w:val="en-US"/>
        </w:rPr>
        <w:t>13</w:t>
      </w:r>
      <w:r w:rsidRPr="00E4462A">
        <w:rPr>
          <w:lang w:val="en-US"/>
        </w:rPr>
        <w:t xml:space="preserve">C DEPT HSQC NMR spectra (section j cross peak; Fig. </w:t>
      </w:r>
      <w:r w:rsidR="00995B49" w:rsidRPr="00E4462A">
        <w:rPr>
          <w:lang w:val="en-US"/>
        </w:rPr>
        <w:t>5</w:t>
      </w:r>
      <w:r w:rsidRPr="00E4462A">
        <w:rPr>
          <w:lang w:val="en-US"/>
        </w:rPr>
        <w:t>), the derivatives with –O-</w:t>
      </w:r>
      <w:r w:rsidR="00D87045" w:rsidRPr="00E4462A">
        <w:rPr>
          <w:lang w:val="en-US"/>
        </w:rPr>
        <w:t>CHCH</w:t>
      </w:r>
      <w:r w:rsidR="00D87045" w:rsidRPr="00E4462A">
        <w:rPr>
          <w:vertAlign w:val="subscript"/>
          <w:lang w:val="en-US"/>
        </w:rPr>
        <w:t>n</w:t>
      </w:r>
      <w:r w:rsidRPr="00E4462A">
        <w:rPr>
          <w:lang w:val="en-US"/>
        </w:rPr>
        <w:t xml:space="preserve">-COOZ </w:t>
      </w:r>
      <w:r w:rsidR="00D87045" w:rsidRPr="00E4462A">
        <w:rPr>
          <w:lang w:val="en-US"/>
        </w:rPr>
        <w:t xml:space="preserve">substructures </w:t>
      </w:r>
      <w:r w:rsidRPr="00E4462A">
        <w:rPr>
          <w:lang w:val="en-US"/>
        </w:rPr>
        <w:t xml:space="preserve">(Z: H, R) will contribute to the </w:t>
      </w:r>
      <w:r w:rsidRPr="00E4462A">
        <w:rPr>
          <w:vertAlign w:val="superscript"/>
          <w:lang w:val="en-US"/>
        </w:rPr>
        <w:t>1</w:t>
      </w:r>
      <w:r w:rsidRPr="00E4462A">
        <w:rPr>
          <w:lang w:val="en-US"/>
        </w:rPr>
        <w:t>H NMR downfield section of the expansive “oxomethine (O</w:t>
      </w:r>
      <w:r w:rsidRPr="00E4462A">
        <w:rPr>
          <w:b/>
          <w:u w:val="single"/>
          <w:lang w:val="en-US"/>
        </w:rPr>
        <w:t>CH</w:t>
      </w:r>
      <w:r w:rsidRPr="00E4462A">
        <w:rPr>
          <w:lang w:val="en-US"/>
        </w:rPr>
        <w:t>C</w:t>
      </w:r>
      <w:r w:rsidRPr="00E4462A">
        <w:rPr>
          <w:vertAlign w:val="subscript"/>
          <w:lang w:val="en-US"/>
        </w:rPr>
        <w:t>2</w:t>
      </w:r>
      <w:r w:rsidRPr="00E4462A">
        <w:rPr>
          <w:lang w:val="en-US"/>
        </w:rPr>
        <w:t xml:space="preserve">)” </w:t>
      </w:r>
      <w:r w:rsidRPr="00E4462A">
        <w:rPr>
          <w:vertAlign w:val="superscript"/>
          <w:lang w:val="en-US"/>
        </w:rPr>
        <w:t>1</w:t>
      </w:r>
      <w:r w:rsidRPr="00E4462A">
        <w:rPr>
          <w:lang w:val="en-US"/>
        </w:rPr>
        <w:t xml:space="preserve">H, </w:t>
      </w:r>
      <w:r w:rsidRPr="00E4462A">
        <w:rPr>
          <w:vertAlign w:val="superscript"/>
          <w:lang w:val="en-US"/>
        </w:rPr>
        <w:t>13</w:t>
      </w:r>
      <w:r w:rsidRPr="00E4462A">
        <w:rPr>
          <w:lang w:val="en-US"/>
        </w:rPr>
        <w:t xml:space="preserve">C DEPT HSQC cross peak (section i cross peak; Fig. </w:t>
      </w:r>
      <w:r w:rsidR="00995B49" w:rsidRPr="00E4462A">
        <w:rPr>
          <w:lang w:val="en-US"/>
        </w:rPr>
        <w:t>5</w:t>
      </w:r>
      <w:r w:rsidRPr="00E4462A">
        <w:rPr>
          <w:lang w:val="en-US"/>
        </w:rPr>
        <w:t xml:space="preserve">) and will not be readily </w:t>
      </w:r>
      <w:r w:rsidR="00D87045" w:rsidRPr="00E4462A">
        <w:rPr>
          <w:lang w:val="en-US"/>
        </w:rPr>
        <w:t>discerned</w:t>
      </w:r>
      <w:r w:rsidR="00360FEA" w:rsidRPr="00E4462A">
        <w:rPr>
          <w:lang w:val="en-US"/>
        </w:rPr>
        <w:t xml:space="preserve"> owing to a larger variance in remote substitution</w:t>
      </w:r>
      <w:r w:rsidRPr="00E4462A">
        <w:rPr>
          <w:lang w:val="en-US"/>
        </w:rPr>
        <w:t>. In addition, oxomethylene units without geminal and vicinal adjacent protons will very likely produce intense singlet NMR resonances, contributing to the enhanced visibility of HSQC cross peaks even at rather limited relative abundance.</w:t>
      </w:r>
      <w:r w:rsidR="0064025F" w:rsidRPr="00E4462A">
        <w:rPr>
          <w:lang w:val="en-US"/>
        </w:rPr>
        <w:t xml:space="preserve"> Further evaluation of aliphatic spin systems </w:t>
      </w:r>
      <w:r w:rsidR="00BA0C5F" w:rsidRPr="00E4462A">
        <w:rPr>
          <w:lang w:val="en-US"/>
        </w:rPr>
        <w:t xml:space="preserve">in FCE-L </w:t>
      </w:r>
      <w:r w:rsidR="0064025F" w:rsidRPr="00E4462A">
        <w:rPr>
          <w:lang w:val="en-US"/>
        </w:rPr>
        <w:t>provided evidence for massive aliphatic branching</w:t>
      </w:r>
      <w:r w:rsidR="00BA0C5F" w:rsidRPr="00E4462A">
        <w:rPr>
          <w:lang w:val="en-US"/>
        </w:rPr>
        <w:t xml:space="preserve"> in CCC</w:t>
      </w:r>
      <w:r w:rsidR="00BA0C5F" w:rsidRPr="00E4462A">
        <w:rPr>
          <w:b/>
          <w:u w:val="single"/>
          <w:lang w:val="en-US"/>
        </w:rPr>
        <w:t>H</w:t>
      </w:r>
      <w:r w:rsidR="00BA0C5F" w:rsidRPr="00E4462A">
        <w:rPr>
          <w:lang w:val="en-US"/>
        </w:rPr>
        <w:t xml:space="preserve"> units and of large chemical diversity of remote carboxylic substitution (Fig. </w:t>
      </w:r>
      <w:r w:rsidR="00995B49" w:rsidRPr="00E4462A">
        <w:rPr>
          <w:lang w:val="en-US"/>
        </w:rPr>
        <w:t>S5</w:t>
      </w:r>
      <w:r w:rsidR="00BA0C5F" w:rsidRPr="00E4462A">
        <w:rPr>
          <w:lang w:val="en-US"/>
        </w:rPr>
        <w:t>).</w:t>
      </w:r>
    </w:p>
    <w:p w14:paraId="1DA36650" w14:textId="43CE4953" w:rsidR="00CF793E" w:rsidRPr="00E4462A" w:rsidRDefault="00714C16" w:rsidP="002B3CE9">
      <w:pPr>
        <w:spacing w:line="360" w:lineRule="auto"/>
        <w:ind w:firstLine="708"/>
        <w:jc w:val="both"/>
        <w:rPr>
          <w:rFonts w:cs="Arial"/>
          <w:lang w:val="en-GB"/>
        </w:rPr>
      </w:pPr>
      <w:r w:rsidRPr="00E4462A">
        <w:rPr>
          <w:rFonts w:cs="Arial"/>
          <w:lang w:val="en-GB"/>
        </w:rPr>
        <w:t xml:space="preserve">TOCSY and HSQC NMR spectra demonstrated presence of olefinic </w:t>
      </w:r>
      <w:r w:rsidR="00EE0648" w:rsidRPr="00E4462A">
        <w:rPr>
          <w:rFonts w:cs="Arial"/>
          <w:lang w:val="en-GB"/>
        </w:rPr>
        <w:t xml:space="preserve">and aromatic </w:t>
      </w:r>
      <w:r w:rsidRPr="00E4462A">
        <w:rPr>
          <w:rFonts w:cs="Arial"/>
          <w:lang w:val="en-GB"/>
        </w:rPr>
        <w:t xml:space="preserve">unsaturation in all </w:t>
      </w:r>
      <w:r w:rsidR="00287866" w:rsidRPr="00E4462A">
        <w:rPr>
          <w:rFonts w:cs="Arial"/>
          <w:lang w:val="en-GB"/>
        </w:rPr>
        <w:t>wetland SPE-DOM</w:t>
      </w:r>
      <w:r w:rsidR="00EE0648" w:rsidRPr="00E4462A">
        <w:rPr>
          <w:rFonts w:cs="Arial"/>
          <w:lang w:val="en-GB"/>
        </w:rPr>
        <w:t xml:space="preserve"> (Fig. </w:t>
      </w:r>
      <w:r w:rsidR="00995B49" w:rsidRPr="00E4462A">
        <w:rPr>
          <w:rFonts w:cs="Arial"/>
          <w:lang w:val="en-GB"/>
        </w:rPr>
        <w:t>3</w:t>
      </w:r>
      <w:r w:rsidR="008D7C25" w:rsidRPr="00E4462A">
        <w:rPr>
          <w:rFonts w:cs="Arial"/>
          <w:lang w:val="en-GB"/>
        </w:rPr>
        <w:t xml:space="preserve">, </w:t>
      </w:r>
      <w:r w:rsidR="00EE0648" w:rsidRPr="00E4462A">
        <w:rPr>
          <w:rFonts w:cs="Arial"/>
          <w:lang w:val="en-GB"/>
        </w:rPr>
        <w:t xml:space="preserve">Fig. </w:t>
      </w:r>
      <w:r w:rsidR="00995B49" w:rsidRPr="00E4462A">
        <w:rPr>
          <w:rFonts w:cs="Arial"/>
          <w:lang w:val="en-GB"/>
        </w:rPr>
        <w:t>4</w:t>
      </w:r>
      <w:r w:rsidR="008D7C25" w:rsidRPr="00E4462A">
        <w:rPr>
          <w:rFonts w:cs="Arial"/>
          <w:lang w:val="en-GB"/>
        </w:rPr>
        <w:t xml:space="preserve"> and Fig. S6</w:t>
      </w:r>
      <w:r w:rsidR="00EE0648" w:rsidRPr="00E4462A">
        <w:rPr>
          <w:rFonts w:cs="Arial"/>
          <w:lang w:val="en-GB"/>
        </w:rPr>
        <w:t>)</w:t>
      </w:r>
      <w:r w:rsidRPr="00E4462A">
        <w:rPr>
          <w:rFonts w:cs="Arial"/>
          <w:lang w:val="en-GB"/>
        </w:rPr>
        <w:t>.</w:t>
      </w:r>
      <w:r w:rsidR="001636FF" w:rsidRPr="00E4462A">
        <w:rPr>
          <w:rFonts w:eastAsia="Calibri"/>
          <w:lang w:val="en-US"/>
        </w:rPr>
        <w:t xml:space="preserve"> </w:t>
      </w:r>
      <w:r w:rsidR="00EE0648" w:rsidRPr="00E4462A">
        <w:rPr>
          <w:rFonts w:eastAsia="Calibri"/>
          <w:lang w:val="en-US"/>
        </w:rPr>
        <w:t xml:space="preserve">The FCE-S showed </w:t>
      </w:r>
      <w:r w:rsidR="00475149" w:rsidRPr="00E4462A">
        <w:rPr>
          <w:rFonts w:eastAsia="Calibri"/>
          <w:lang w:val="en-US"/>
        </w:rPr>
        <w:t xml:space="preserve">the </w:t>
      </w:r>
      <w:r w:rsidR="00EE0648" w:rsidRPr="00E4462A">
        <w:rPr>
          <w:rFonts w:eastAsia="Calibri"/>
          <w:lang w:val="en-US"/>
        </w:rPr>
        <w:t>most</w:t>
      </w:r>
      <w:r w:rsidR="00F443B5" w:rsidRPr="00E4462A">
        <w:rPr>
          <w:rFonts w:eastAsia="Calibri"/>
          <w:lang w:val="en-US"/>
        </w:rPr>
        <w:t xml:space="preserve"> </w:t>
      </w:r>
      <w:r w:rsidR="00EE0648" w:rsidRPr="00E4462A">
        <w:rPr>
          <w:rFonts w:eastAsia="Calibri"/>
          <w:lang w:val="en-US"/>
        </w:rPr>
        <w:t>informative detail of HSQC cross peaks arising from unsaturated C</w:t>
      </w:r>
      <w:r w:rsidR="00EE0648" w:rsidRPr="00E4462A">
        <w:rPr>
          <w:rFonts w:eastAsia="Calibri"/>
          <w:vertAlign w:val="subscript"/>
          <w:lang w:val="en-US"/>
        </w:rPr>
        <w:t>sp2</w:t>
      </w:r>
      <w:r w:rsidR="00EE0648" w:rsidRPr="00E4462A">
        <w:rPr>
          <w:rFonts w:eastAsia="Calibri"/>
          <w:lang w:val="en-US"/>
        </w:rPr>
        <w:t xml:space="preserve">H groups (Fig. </w:t>
      </w:r>
      <w:r w:rsidR="00995B49" w:rsidRPr="00E4462A">
        <w:rPr>
          <w:rFonts w:eastAsia="Calibri"/>
          <w:lang w:val="en-US"/>
        </w:rPr>
        <w:t>4</w:t>
      </w:r>
      <w:r w:rsidR="00EE0648" w:rsidRPr="00E4462A">
        <w:rPr>
          <w:rFonts w:eastAsia="Calibri"/>
          <w:lang w:val="en-US"/>
        </w:rPr>
        <w:t xml:space="preserve">). </w:t>
      </w:r>
      <w:r w:rsidR="001636FF" w:rsidRPr="00E4462A">
        <w:rPr>
          <w:rFonts w:eastAsia="Calibri"/>
          <w:lang w:val="en-US"/>
        </w:rPr>
        <w:t>In comparison with marine SPE-DOM</w:t>
      </w:r>
      <w:r w:rsidR="00360FEA" w:rsidRPr="00E4462A">
        <w:rPr>
          <w:rFonts w:eastAsia="Calibri"/>
          <w:lang w:val="en-US"/>
        </w:rPr>
        <w:t xml:space="preserve"> (cf. Fig. S4 and attendant discussion)</w:t>
      </w:r>
      <w:r w:rsidR="001636FF" w:rsidRPr="00E4462A">
        <w:rPr>
          <w:rFonts w:eastAsia="Calibri"/>
          <w:lang w:val="en-US"/>
        </w:rPr>
        <w:t xml:space="preserve">, wetland SPE-DOM displayed a more restricted chemical diversity of conjugated olefins (Fig. </w:t>
      </w:r>
      <w:r w:rsidR="00995B49" w:rsidRPr="00E4462A">
        <w:rPr>
          <w:rFonts w:eastAsia="Calibri"/>
          <w:lang w:val="en-US"/>
        </w:rPr>
        <w:t>4</w:t>
      </w:r>
      <w:r w:rsidR="001636FF" w:rsidRPr="00E4462A">
        <w:rPr>
          <w:rFonts w:eastAsia="Calibri"/>
          <w:lang w:val="en-US"/>
        </w:rPr>
        <w:t>) whereas all kinds of oxygenated aromatics, i.e. those substituted with electron-withdrawing (e.g. COOH) and electron-donating (e.g. OR) substituents were much more abundant and chemical</w:t>
      </w:r>
      <w:r w:rsidR="00935972" w:rsidRPr="00E4462A">
        <w:rPr>
          <w:rFonts w:eastAsia="Calibri"/>
          <w:lang w:val="en-US"/>
        </w:rPr>
        <w:t xml:space="preserve">ly diverse in (all) wetland </w:t>
      </w:r>
      <w:r w:rsidR="001636FF" w:rsidRPr="00E4462A">
        <w:rPr>
          <w:rFonts w:eastAsia="Calibri"/>
          <w:lang w:val="en-US"/>
        </w:rPr>
        <w:t xml:space="preserve">DOM (not all data shown). The latter finding is indicative of polyphenol input from </w:t>
      </w:r>
      <w:r w:rsidR="001636FF" w:rsidRPr="00E4462A">
        <w:rPr>
          <w:rFonts w:eastAsia="Calibri"/>
          <w:lang w:val="en-US"/>
        </w:rPr>
        <w:lastRenderedPageBreak/>
        <w:t>vascular plants (e.g. ligni</w:t>
      </w:r>
      <w:r w:rsidR="00935972" w:rsidRPr="00E4462A">
        <w:rPr>
          <w:rFonts w:eastAsia="Calibri"/>
          <w:lang w:val="en-US"/>
        </w:rPr>
        <w:t xml:space="preserve">n-derivatives) into wetland </w:t>
      </w:r>
      <w:r w:rsidR="001636FF" w:rsidRPr="00E4462A">
        <w:rPr>
          <w:rFonts w:eastAsia="Calibri"/>
          <w:lang w:val="en-US"/>
        </w:rPr>
        <w:t xml:space="preserve">DOM whereas aromatics in marine SPE-DOM mainly </w:t>
      </w:r>
      <w:r w:rsidR="005A7FFB" w:rsidRPr="00E4462A">
        <w:rPr>
          <w:rFonts w:eastAsia="Calibri"/>
          <w:lang w:val="en-US"/>
        </w:rPr>
        <w:t>reflect marine natural products</w:t>
      </w:r>
      <w:r w:rsidR="001636FF" w:rsidRPr="00E4462A">
        <w:rPr>
          <w:rFonts w:eastAsia="Calibri"/>
          <w:lang w:val="en-US"/>
        </w:rPr>
        <w:t xml:space="preserve"> (Fig. </w:t>
      </w:r>
      <w:r w:rsidR="00995B49" w:rsidRPr="00E4462A">
        <w:rPr>
          <w:rFonts w:eastAsia="Calibri"/>
          <w:lang w:val="en-US"/>
        </w:rPr>
        <w:t>S4</w:t>
      </w:r>
      <w:r w:rsidR="001636FF" w:rsidRPr="00E4462A">
        <w:rPr>
          <w:rFonts w:eastAsia="Calibri"/>
          <w:lang w:val="en-US"/>
        </w:rPr>
        <w:t>)</w:t>
      </w:r>
      <w:r w:rsidR="005A7FFB" w:rsidRPr="00E4462A">
        <w:rPr>
          <w:rFonts w:eastAsia="Calibri"/>
          <w:lang w:val="en-US"/>
        </w:rPr>
        <w:t>.</w:t>
      </w:r>
      <w:r w:rsidRPr="00E4462A">
        <w:rPr>
          <w:rFonts w:cs="Arial"/>
          <w:lang w:val="en-GB"/>
        </w:rPr>
        <w:t xml:space="preserve"> In general, aromatic unsaturation (as deduced from proton NMR integrals</w:t>
      </w:r>
      <w:r w:rsidR="00A52EC7" w:rsidRPr="00E4462A">
        <w:rPr>
          <w:rFonts w:cs="Arial"/>
          <w:lang w:val="en-GB"/>
        </w:rPr>
        <w:t>; Table 2</w:t>
      </w:r>
      <w:r w:rsidRPr="00E4462A">
        <w:rPr>
          <w:rFonts w:cs="Arial"/>
          <w:lang w:val="en-GB"/>
        </w:rPr>
        <w:t>) followed the order PAN &gt; OKA &gt; FCE</w:t>
      </w:r>
      <w:r w:rsidR="005A7FFB" w:rsidRPr="00E4462A">
        <w:rPr>
          <w:rFonts w:cs="Arial"/>
          <w:lang w:val="en-GB"/>
        </w:rPr>
        <w:t xml:space="preserve"> (Fig. S1)</w:t>
      </w:r>
      <w:r w:rsidRPr="00E4462A">
        <w:rPr>
          <w:rFonts w:cs="Arial"/>
          <w:lang w:val="en-GB"/>
        </w:rPr>
        <w:t>, whereas olefinic unsaturation followed the order OKA ~ PAN &gt; FCE</w:t>
      </w:r>
      <w:r w:rsidR="005A7FFB" w:rsidRPr="00E4462A">
        <w:rPr>
          <w:rFonts w:cs="Arial"/>
          <w:lang w:val="en-GB"/>
        </w:rPr>
        <w:t xml:space="preserve"> </w:t>
      </w:r>
      <w:r w:rsidR="00A52EC7" w:rsidRPr="00E4462A">
        <w:rPr>
          <w:rFonts w:cs="Arial"/>
          <w:lang w:val="en-GB"/>
        </w:rPr>
        <w:t>(Fig. S1)</w:t>
      </w:r>
      <w:r w:rsidR="005A7FFB" w:rsidRPr="00E4462A">
        <w:rPr>
          <w:rFonts w:cs="Arial"/>
          <w:lang w:val="en-GB"/>
        </w:rPr>
        <w:t xml:space="preserve">. </w:t>
      </w:r>
      <w:r w:rsidR="00D87045" w:rsidRPr="00E4462A">
        <w:rPr>
          <w:rFonts w:cs="Arial"/>
          <w:lang w:val="en-GB"/>
        </w:rPr>
        <w:t>A</w:t>
      </w:r>
      <w:r w:rsidR="00B55AEE" w:rsidRPr="00E4462A">
        <w:rPr>
          <w:rFonts w:cs="Arial"/>
          <w:lang w:val="en-GB"/>
        </w:rPr>
        <w:t>liphatic</w:t>
      </w:r>
      <w:r w:rsidR="00D87045" w:rsidRPr="00E4462A">
        <w:rPr>
          <w:rFonts w:cs="Arial"/>
          <w:lang w:val="en-GB"/>
        </w:rPr>
        <w:t xml:space="preserve"> to </w:t>
      </w:r>
      <w:r w:rsidR="00B55AEE" w:rsidRPr="00E4462A">
        <w:rPr>
          <w:rFonts w:cs="Arial"/>
          <w:lang w:val="en-GB"/>
        </w:rPr>
        <w:t xml:space="preserve">aromatic </w:t>
      </w:r>
      <w:r w:rsidRPr="00E4462A">
        <w:rPr>
          <w:rFonts w:cs="Arial"/>
          <w:lang w:val="en-GB"/>
        </w:rPr>
        <w:t xml:space="preserve">ratios changed across the different samples with an order of </w:t>
      </w:r>
      <w:r w:rsidR="005A7FFB" w:rsidRPr="00E4462A">
        <w:rPr>
          <w:rFonts w:cs="Arial"/>
          <w:lang w:val="en-GB"/>
        </w:rPr>
        <w:t>FCE</w:t>
      </w:r>
      <w:r w:rsidRPr="00E4462A">
        <w:rPr>
          <w:rFonts w:cs="Arial"/>
          <w:lang w:val="en-GB"/>
        </w:rPr>
        <w:t xml:space="preserve"> &gt; PAN &gt; </w:t>
      </w:r>
      <w:r w:rsidR="005A7FFB" w:rsidRPr="00E4462A">
        <w:rPr>
          <w:rFonts w:cs="Arial"/>
          <w:lang w:val="en-GB"/>
        </w:rPr>
        <w:t xml:space="preserve">OKA, suggesting higher relative contributions from periphyton in the FCE, whilst the PAN and OKA </w:t>
      </w:r>
      <w:r w:rsidR="00D87045" w:rsidRPr="00E4462A">
        <w:rPr>
          <w:rFonts w:cs="Arial"/>
          <w:lang w:val="en-GB"/>
        </w:rPr>
        <w:t>we</w:t>
      </w:r>
      <w:r w:rsidR="005A7FFB" w:rsidRPr="00E4462A">
        <w:rPr>
          <w:rFonts w:cs="Arial"/>
          <w:lang w:val="en-GB"/>
        </w:rPr>
        <w:t>re more influenced by higher plant-derived organic matter including lignins</w:t>
      </w:r>
      <w:r w:rsidRPr="00E4462A">
        <w:rPr>
          <w:rFonts w:cs="Arial"/>
          <w:lang w:val="en-GB"/>
        </w:rPr>
        <w:t>.</w:t>
      </w:r>
      <w:r w:rsidR="005A7FFB" w:rsidRPr="00E4462A">
        <w:rPr>
          <w:rFonts w:cs="Arial"/>
          <w:lang w:val="en-GB"/>
        </w:rPr>
        <w:t xml:space="preserve"> The</w:t>
      </w:r>
      <w:r w:rsidR="00714C27" w:rsidRPr="00E4462A">
        <w:rPr>
          <w:rFonts w:cs="Arial"/>
          <w:lang w:val="en-GB"/>
        </w:rPr>
        <w:t xml:space="preserve"> </w:t>
      </w:r>
      <w:r w:rsidR="0046438A" w:rsidRPr="00E4462A">
        <w:rPr>
          <w:rFonts w:cs="Arial"/>
          <w:lang w:val="en-GB"/>
        </w:rPr>
        <w:t>olefinic to aromatic</w:t>
      </w:r>
      <w:r w:rsidR="005A7FFB" w:rsidRPr="00E4462A">
        <w:rPr>
          <w:rFonts w:cs="Arial"/>
          <w:lang w:val="en-GB"/>
        </w:rPr>
        <w:t xml:space="preserve"> ratios (FCE</w:t>
      </w:r>
      <w:r w:rsidR="00360FEA" w:rsidRPr="00E4462A">
        <w:rPr>
          <w:rFonts w:cs="Arial"/>
          <w:lang w:val="en-GB"/>
        </w:rPr>
        <w:t xml:space="preserve">-L: 0.44; FCE-S: 0.39; </w:t>
      </w:r>
      <w:r w:rsidR="005A7FFB" w:rsidRPr="00E4462A">
        <w:rPr>
          <w:rFonts w:cs="Arial"/>
          <w:lang w:val="en-GB"/>
        </w:rPr>
        <w:t xml:space="preserve">; PAN: </w:t>
      </w:r>
      <w:r w:rsidR="00360FEA" w:rsidRPr="00E4462A">
        <w:rPr>
          <w:rFonts w:cs="Arial"/>
          <w:lang w:val="en-GB"/>
        </w:rPr>
        <w:t>0.38</w:t>
      </w:r>
      <w:r w:rsidR="005A7FFB" w:rsidRPr="00E4462A">
        <w:rPr>
          <w:rFonts w:cs="Arial"/>
          <w:lang w:val="en-GB"/>
        </w:rPr>
        <w:t xml:space="preserve">; OKA: </w:t>
      </w:r>
      <w:r w:rsidR="00360FEA" w:rsidRPr="00E4462A">
        <w:rPr>
          <w:rFonts w:cs="Arial"/>
          <w:lang w:val="en-GB"/>
        </w:rPr>
        <w:t>0.41</w:t>
      </w:r>
      <w:r w:rsidR="005A7FFB" w:rsidRPr="00E4462A">
        <w:rPr>
          <w:rFonts w:cs="Arial"/>
          <w:lang w:val="en-GB"/>
        </w:rPr>
        <w:t xml:space="preserve">) were </w:t>
      </w:r>
      <w:r w:rsidR="00360FEA" w:rsidRPr="00E4462A">
        <w:rPr>
          <w:rFonts w:cs="Arial"/>
          <w:lang w:val="en-GB"/>
        </w:rPr>
        <w:t xml:space="preserve">computed from adapted </w:t>
      </w:r>
      <w:r w:rsidR="00360FEA" w:rsidRPr="00E4462A">
        <w:rPr>
          <w:rFonts w:cs="Arial"/>
          <w:vertAlign w:val="superscript"/>
          <w:lang w:val="en-GB"/>
        </w:rPr>
        <w:t>1</w:t>
      </w:r>
      <w:r w:rsidR="00360FEA" w:rsidRPr="00E4462A">
        <w:rPr>
          <w:rFonts w:cs="Arial"/>
          <w:lang w:val="en-GB"/>
        </w:rPr>
        <w:t>H NMR section integrals [</w:t>
      </w:r>
      <w:r w:rsidR="00360FEA" w:rsidRPr="00E4462A">
        <w:rPr>
          <w:rFonts w:ascii="Symbol" w:hAnsi="Symbol" w:cs="Arial"/>
          <w:lang w:val="en-GB"/>
        </w:rPr>
        <w:t></w:t>
      </w:r>
      <w:r w:rsidR="00360FEA" w:rsidRPr="00E4462A">
        <w:rPr>
          <w:rFonts w:cs="Arial"/>
          <w:vertAlign w:val="subscript"/>
          <w:lang w:val="en-GB"/>
        </w:rPr>
        <w:t>H</w:t>
      </w:r>
      <w:r w:rsidR="00360FEA" w:rsidRPr="00E4462A">
        <w:rPr>
          <w:rFonts w:cs="Arial"/>
          <w:lang w:val="en-GB"/>
        </w:rPr>
        <w:t xml:space="preserve">: 10 – 6.5 ppm (aromatics) / 6.5 – 5.0 ppm (olefins); Table 2]´owing to HSQC cross peak positioning wich indicated major contribution of oxygenated aromatics </w:t>
      </w:r>
      <w:r w:rsidR="00360FEA" w:rsidRPr="00E4462A">
        <w:rPr>
          <w:rFonts w:cs="Arial"/>
          <w:b/>
          <w:u w:val="single"/>
          <w:lang w:val="en-GB"/>
        </w:rPr>
        <w:t>C</w:t>
      </w:r>
      <w:r w:rsidR="00360FEA" w:rsidRPr="00E4462A">
        <w:rPr>
          <w:rFonts w:cs="Arial"/>
          <w:b/>
          <w:u w:val="single"/>
          <w:vertAlign w:val="subscript"/>
          <w:lang w:val="en-GB"/>
        </w:rPr>
        <w:t>ar</w:t>
      </w:r>
      <w:r w:rsidR="00360FEA" w:rsidRPr="00E4462A">
        <w:rPr>
          <w:rFonts w:cs="Arial"/>
          <w:lang w:val="en-GB"/>
        </w:rPr>
        <w:t xml:space="preserve">O at </w:t>
      </w:r>
      <w:r w:rsidR="00360FEA" w:rsidRPr="00E4462A">
        <w:rPr>
          <w:rFonts w:ascii="Symbol" w:hAnsi="Symbol" w:cs="Arial"/>
          <w:lang w:val="en-GB"/>
        </w:rPr>
        <w:t></w:t>
      </w:r>
      <w:r w:rsidR="00360FEA" w:rsidRPr="00E4462A">
        <w:rPr>
          <w:rFonts w:cs="Arial"/>
          <w:vertAlign w:val="subscript"/>
          <w:lang w:val="en-GB"/>
        </w:rPr>
        <w:t>H</w:t>
      </w:r>
      <w:r w:rsidR="00360FEA" w:rsidRPr="00E4462A">
        <w:rPr>
          <w:rFonts w:cs="Arial"/>
          <w:lang w:val="en-GB"/>
        </w:rPr>
        <w:t>: 7.0 – 6.5 ppm; Fig. 4] and showed</w:t>
      </w:r>
      <w:r w:rsidRPr="00E4462A">
        <w:rPr>
          <w:rFonts w:cs="Arial"/>
          <w:lang w:val="en-GB"/>
        </w:rPr>
        <w:t xml:space="preserve"> lower </w:t>
      </w:r>
      <w:r w:rsidR="00360FEA" w:rsidRPr="00E4462A">
        <w:rPr>
          <w:rFonts w:cs="Arial"/>
          <w:lang w:val="en-GB"/>
        </w:rPr>
        <w:t xml:space="preserve">values than </w:t>
      </w:r>
      <w:r w:rsidRPr="00E4462A">
        <w:rPr>
          <w:rFonts w:cs="Arial"/>
          <w:lang w:val="en-GB"/>
        </w:rPr>
        <w:t>oceanic DOC (Hertkorn et al., 2013)</w:t>
      </w:r>
      <w:r w:rsidR="005A7FFB" w:rsidRPr="00E4462A">
        <w:rPr>
          <w:rFonts w:cs="Arial"/>
          <w:lang w:val="en-GB"/>
        </w:rPr>
        <w:t>,</w:t>
      </w:r>
      <w:r w:rsidRPr="00E4462A">
        <w:rPr>
          <w:rFonts w:cs="Arial"/>
          <w:lang w:val="en-GB"/>
        </w:rPr>
        <w:t xml:space="preserve"> who reported olefinic to aromatic ratios in the ra</w:t>
      </w:r>
      <w:r w:rsidR="00EE0648" w:rsidRPr="00E4462A">
        <w:rPr>
          <w:rFonts w:cs="Arial"/>
          <w:lang w:val="en-GB"/>
        </w:rPr>
        <w:t>n</w:t>
      </w:r>
      <w:r w:rsidRPr="00E4462A">
        <w:rPr>
          <w:rFonts w:cs="Arial"/>
          <w:lang w:val="en-GB"/>
        </w:rPr>
        <w:t>ge of 1.2 to 3.0. It is likely that this significant difference is due to the contributions of higher plant, lignin-rich carbon in the wetlands compared to marine DO</w:t>
      </w:r>
      <w:r w:rsidR="00E30E26" w:rsidRPr="00E4462A">
        <w:rPr>
          <w:rFonts w:cs="Arial"/>
          <w:lang w:val="en-GB"/>
        </w:rPr>
        <w:t>M</w:t>
      </w:r>
      <w:r w:rsidRPr="00E4462A">
        <w:rPr>
          <w:rFonts w:cs="Arial"/>
          <w:lang w:val="en-GB"/>
        </w:rPr>
        <w:t>. Th</w:t>
      </w:r>
      <w:r w:rsidR="00360FEA" w:rsidRPr="00E4462A">
        <w:rPr>
          <w:rFonts w:cs="Arial"/>
          <w:lang w:val="en-GB"/>
        </w:rPr>
        <w:t>e slightly elevated olefin content found in FCE-L</w:t>
      </w:r>
      <w:r w:rsidRPr="00E4462A">
        <w:rPr>
          <w:rFonts w:cs="Arial"/>
          <w:lang w:val="en-GB"/>
        </w:rPr>
        <w:t xml:space="preserve"> may result </w:t>
      </w:r>
      <w:r w:rsidR="00360FEA" w:rsidRPr="00E4462A">
        <w:rPr>
          <w:rFonts w:cs="Arial"/>
          <w:lang w:val="en-GB"/>
        </w:rPr>
        <w:t>from</w:t>
      </w:r>
      <w:r w:rsidR="00CE39F6" w:rsidRPr="00E4462A">
        <w:rPr>
          <w:rFonts w:cs="Arial"/>
          <w:lang w:val="en-GB"/>
        </w:rPr>
        <w:t xml:space="preserve"> </w:t>
      </w:r>
      <w:r w:rsidRPr="00E4462A">
        <w:rPr>
          <w:rFonts w:cs="Arial"/>
          <w:lang w:val="en-GB"/>
        </w:rPr>
        <w:t>the contribution of periphyton-derived DOM in the Everglades (Maie et al., 2005; Chen et al., 2013)</w:t>
      </w:r>
      <w:r w:rsidR="00CE39F6" w:rsidRPr="00E4462A">
        <w:rPr>
          <w:rFonts w:cs="Arial"/>
          <w:lang w:val="en-GB"/>
        </w:rPr>
        <w:t>,</w:t>
      </w:r>
      <w:r w:rsidR="00CD30BE" w:rsidRPr="00E4462A">
        <w:rPr>
          <w:rFonts w:cs="Arial"/>
          <w:lang w:val="en-GB"/>
        </w:rPr>
        <w:t xml:space="preserve"> (see also above)</w:t>
      </w:r>
      <w:r w:rsidRPr="00E4462A">
        <w:rPr>
          <w:rFonts w:cs="Arial"/>
          <w:lang w:val="en-GB"/>
        </w:rPr>
        <w:t>. In addition, all three sites are known for frequent and seasonal fires and have been reported to contain dissolved black carbon (DBC) (Ding et al., 2014</w:t>
      </w:r>
      <w:r w:rsidR="00043972" w:rsidRPr="00E4462A">
        <w:rPr>
          <w:rFonts w:cs="Arial"/>
          <w:lang w:val="en-GB"/>
        </w:rPr>
        <w:t>a</w:t>
      </w:r>
      <w:r w:rsidRPr="00E4462A">
        <w:rPr>
          <w:rFonts w:cs="Arial"/>
          <w:lang w:val="en-GB"/>
        </w:rPr>
        <w:t xml:space="preserve">) in abundances close to 10% of their DOC on a global average (Jaffé et al., 2013). However, the DBC content (as %DOC) in the FCE was higher (as high as 20% of DOC) than for the PAN samples (13% and 14% for PAN-L and PAN-S respectively), and these higher than the OKA samples (9.4% and 6.3% for OKA-L and OKA-S respectively) studied here (Jaffé et al., 2013). In addition, the presence of six-membered N-containing heterocycles in these samples might be indicative of the presence of dissolved black nitrogen (DBN), which has previously been reported in the FCE (Maie et al., 2006) and proposed to consist of polyaromatic molecules containing pyrrolic-N, and multiple carboxylic substituents (Wagner et al., </w:t>
      </w:r>
      <w:r w:rsidR="005A7FFB" w:rsidRPr="00E4462A">
        <w:rPr>
          <w:rFonts w:cs="Arial"/>
          <w:lang w:val="en-GB"/>
        </w:rPr>
        <w:t>201</w:t>
      </w:r>
      <w:r w:rsidR="00513DC4" w:rsidRPr="00E4462A">
        <w:rPr>
          <w:rFonts w:cs="Arial"/>
          <w:lang w:val="en-GB"/>
        </w:rPr>
        <w:t>5</w:t>
      </w:r>
      <w:r w:rsidR="00FC5AF8" w:rsidRPr="00E4462A">
        <w:rPr>
          <w:rFonts w:cs="Arial"/>
          <w:lang w:val="en-GB"/>
        </w:rPr>
        <w:t>b</w:t>
      </w:r>
      <w:r w:rsidRPr="00E4462A">
        <w:rPr>
          <w:rFonts w:cs="Arial"/>
          <w:lang w:val="en-GB"/>
        </w:rPr>
        <w:t>)</w:t>
      </w:r>
      <w:r w:rsidR="00360FEA" w:rsidRPr="00E4462A">
        <w:rPr>
          <w:rFonts w:cs="Arial"/>
          <w:lang w:val="en-GB"/>
        </w:rPr>
        <w:t xml:space="preserve">; (see also attendant FTMS-based discussion of dissolved black sulfur compounds (DBS) in FCE-S; section 3e). </w:t>
      </w:r>
      <w:r w:rsidRPr="00E4462A">
        <w:rPr>
          <w:rFonts w:cs="Arial"/>
          <w:lang w:val="en-GB"/>
        </w:rPr>
        <w:t>With regards to the degree of oxidation of the aromatic signal</w:t>
      </w:r>
      <w:r w:rsidR="005A7FFB" w:rsidRPr="00E4462A">
        <w:rPr>
          <w:rFonts w:cs="Arial"/>
          <w:lang w:val="en-GB"/>
        </w:rPr>
        <w:t xml:space="preserve">, </w:t>
      </w:r>
      <w:r w:rsidR="00915909" w:rsidRPr="00E4462A">
        <w:rPr>
          <w:rFonts w:cs="Arial"/>
          <w:lang w:val="en-GB"/>
        </w:rPr>
        <w:t xml:space="preserve">the OKA showed the highest </w:t>
      </w:r>
      <w:r w:rsidR="00360FEA" w:rsidRPr="00E4462A">
        <w:rPr>
          <w:rFonts w:cs="Arial"/>
          <w:lang w:val="en-GB"/>
        </w:rPr>
        <w:t>proportion</w:t>
      </w:r>
      <w:r w:rsidR="00915909" w:rsidRPr="00E4462A">
        <w:rPr>
          <w:rFonts w:cs="Arial"/>
          <w:lang w:val="en-GB"/>
        </w:rPr>
        <w:t xml:space="preserve"> of electron donating groups</w:t>
      </w:r>
      <w:r w:rsidR="00360FEA" w:rsidRPr="00E4462A">
        <w:rPr>
          <w:rFonts w:cs="Arial"/>
          <w:lang w:val="en-GB"/>
        </w:rPr>
        <w:t xml:space="preserve"> (Fig. 2; Fig. S1 and S2)</w:t>
      </w:r>
      <w:r w:rsidR="00915909" w:rsidRPr="00E4462A">
        <w:rPr>
          <w:rFonts w:cs="Arial"/>
          <w:lang w:val="en-GB"/>
        </w:rPr>
        <w:t xml:space="preserve">, such as phenols and ethers, possibly related to lignin oxidation products, while the FCE featured the highest </w:t>
      </w:r>
      <w:r w:rsidR="00360FEA" w:rsidRPr="00E4462A">
        <w:rPr>
          <w:rFonts w:cs="Arial"/>
          <w:lang w:val="en-GB"/>
        </w:rPr>
        <w:t>shares</w:t>
      </w:r>
      <w:r w:rsidR="00915909" w:rsidRPr="00E4462A">
        <w:rPr>
          <w:rFonts w:cs="Arial"/>
          <w:lang w:val="en-GB"/>
        </w:rPr>
        <w:t xml:space="preserve"> of electron withdrawing substituents (e.g. carboxyl groups) possibly associated with DBC</w:t>
      </w:r>
      <w:r w:rsidRPr="00E4462A">
        <w:rPr>
          <w:rFonts w:cs="Arial"/>
          <w:lang w:val="en-GB"/>
        </w:rPr>
        <w:t xml:space="preserve">. </w:t>
      </w:r>
      <w:r w:rsidR="00915909" w:rsidRPr="00E4462A">
        <w:rPr>
          <w:rFonts w:cs="Arial"/>
          <w:lang w:val="en-GB"/>
        </w:rPr>
        <w:t>Although</w:t>
      </w:r>
      <w:r w:rsidRPr="00E4462A">
        <w:rPr>
          <w:rFonts w:cs="Arial"/>
          <w:lang w:val="en-GB"/>
        </w:rPr>
        <w:t xml:space="preserve"> all three </w:t>
      </w:r>
      <w:r w:rsidR="00915909" w:rsidRPr="00E4462A">
        <w:rPr>
          <w:rFonts w:cs="Arial"/>
          <w:lang w:val="en-GB"/>
        </w:rPr>
        <w:t>eco</w:t>
      </w:r>
      <w:r w:rsidRPr="00E4462A">
        <w:rPr>
          <w:rFonts w:cs="Arial"/>
          <w:lang w:val="en-GB"/>
        </w:rPr>
        <w:t xml:space="preserve">systems have climates leading to high light exposure, the high levels of </w:t>
      </w:r>
      <w:r w:rsidRPr="00E4462A">
        <w:rPr>
          <w:rFonts w:cs="Arial"/>
          <w:lang w:val="en-GB"/>
        </w:rPr>
        <w:lastRenderedPageBreak/>
        <w:t xml:space="preserve">DOC in the FCE suggest some degree of self-shading, while DOC in the OKA is generally lower and the system is known for its capacity to photo-degrade DOM (Cawley et al., 2012). Thus, the degree of photo-exposure of the DOM </w:t>
      </w:r>
      <w:r w:rsidR="00915909" w:rsidRPr="00E4462A">
        <w:rPr>
          <w:rFonts w:cs="Arial"/>
          <w:lang w:val="en-GB"/>
        </w:rPr>
        <w:t xml:space="preserve">combined with combustion </w:t>
      </w:r>
      <w:r w:rsidR="00AA3613" w:rsidRPr="00E4462A">
        <w:rPr>
          <w:rFonts w:cs="Arial"/>
          <w:lang w:val="en-GB"/>
        </w:rPr>
        <w:t>by-products</w:t>
      </w:r>
      <w:r w:rsidR="00915909" w:rsidRPr="00E4462A">
        <w:rPr>
          <w:rFonts w:cs="Arial"/>
          <w:lang w:val="en-GB"/>
        </w:rPr>
        <w:t xml:space="preserve"> such as DBC, </w:t>
      </w:r>
      <w:r w:rsidRPr="00E4462A">
        <w:rPr>
          <w:rFonts w:cs="Arial"/>
          <w:lang w:val="en-GB"/>
        </w:rPr>
        <w:t xml:space="preserve">may be the driver controlling the oxidation </w:t>
      </w:r>
      <w:r w:rsidR="00915909" w:rsidRPr="00E4462A">
        <w:rPr>
          <w:rFonts w:cs="Arial"/>
          <w:lang w:val="en-GB"/>
        </w:rPr>
        <w:t xml:space="preserve">state </w:t>
      </w:r>
      <w:r w:rsidRPr="00E4462A">
        <w:rPr>
          <w:rFonts w:cs="Arial"/>
          <w:lang w:val="en-GB"/>
        </w:rPr>
        <w:t xml:space="preserve">of the aromatic fraction. The </w:t>
      </w:r>
      <w:r w:rsidR="00915909" w:rsidRPr="00E4462A">
        <w:rPr>
          <w:rFonts w:cs="Arial"/>
          <w:lang w:val="en-GB"/>
        </w:rPr>
        <w:t>photo-reactivity</w:t>
      </w:r>
      <w:r w:rsidRPr="00E4462A">
        <w:rPr>
          <w:rFonts w:cs="Arial"/>
          <w:lang w:val="en-GB"/>
        </w:rPr>
        <w:t xml:space="preserve"> of DBC in marine environments has recently been shown (Stubbins et al., 2012) and may play a role in the lower DBC leve</w:t>
      </w:r>
      <w:r w:rsidR="002B3CE9" w:rsidRPr="00E4462A">
        <w:rPr>
          <w:rFonts w:cs="Arial"/>
          <w:lang w:val="en-GB"/>
        </w:rPr>
        <w:t>ls observed in the OKA samples.</w:t>
      </w:r>
    </w:p>
    <w:p w14:paraId="46722B35" w14:textId="77777777" w:rsidR="00714C16" w:rsidRPr="00E4462A" w:rsidRDefault="00714C16" w:rsidP="008B22B1">
      <w:pPr>
        <w:spacing w:line="360" w:lineRule="auto"/>
        <w:jc w:val="both"/>
        <w:rPr>
          <w:lang w:val="en-US"/>
        </w:rPr>
      </w:pPr>
    </w:p>
    <w:p w14:paraId="06A665D0" w14:textId="0C3205F1" w:rsidR="00B70FA1" w:rsidRPr="00E4462A" w:rsidRDefault="00995B49" w:rsidP="002A7035">
      <w:pPr>
        <w:spacing w:line="360" w:lineRule="auto"/>
        <w:jc w:val="both"/>
        <w:outlineLvl w:val="0"/>
        <w:rPr>
          <w:i/>
          <w:lang w:val="en-GB"/>
        </w:rPr>
      </w:pPr>
      <w:r w:rsidRPr="00E4462A">
        <w:rPr>
          <w:i/>
          <w:lang w:val="en-GB"/>
        </w:rPr>
        <w:t>3</w:t>
      </w:r>
      <w:r w:rsidR="00B70FA1" w:rsidRPr="00E4462A">
        <w:rPr>
          <w:i/>
          <w:lang w:val="en-GB"/>
        </w:rPr>
        <w:t>c</w:t>
      </w:r>
      <w:r w:rsidR="00331408" w:rsidRPr="00E4462A">
        <w:rPr>
          <w:i/>
          <w:lang w:val="en-GB"/>
        </w:rPr>
        <w:t xml:space="preserve">) </w:t>
      </w:r>
      <w:r w:rsidR="004D757B" w:rsidRPr="00E4462A">
        <w:rPr>
          <w:i/>
          <w:lang w:val="en-GB"/>
        </w:rPr>
        <w:t>FTICR</w:t>
      </w:r>
      <w:r w:rsidR="00360FEA" w:rsidRPr="00E4462A">
        <w:rPr>
          <w:i/>
          <w:lang w:val="en-GB"/>
        </w:rPr>
        <w:t xml:space="preserve"> mass spectrometry</w:t>
      </w:r>
      <w:r w:rsidR="0059577E" w:rsidRPr="00E4462A">
        <w:rPr>
          <w:i/>
          <w:lang w:val="en-GB"/>
        </w:rPr>
        <w:t xml:space="preserve">: </w:t>
      </w:r>
    </w:p>
    <w:p w14:paraId="24F0740F" w14:textId="332622AE" w:rsidR="004D757B" w:rsidRPr="00E4462A" w:rsidRDefault="004D757B" w:rsidP="002A7035">
      <w:pPr>
        <w:spacing w:line="360" w:lineRule="auto"/>
        <w:jc w:val="both"/>
        <w:outlineLvl w:val="0"/>
        <w:rPr>
          <w:i/>
          <w:lang w:val="en-GB"/>
        </w:rPr>
      </w:pPr>
      <w:r w:rsidRPr="00E4462A">
        <w:rPr>
          <w:lang w:val="en-GB"/>
        </w:rPr>
        <w:t xml:space="preserve">Ultrahigh resolution Fourier transform ion cyclotron mass spectra (FTICR/MS) of SPE-DOM may provide several thousands of mass peaks </w:t>
      </w:r>
      <w:r w:rsidR="00BC31D5" w:rsidRPr="00E4462A">
        <w:rPr>
          <w:lang w:val="en-GB"/>
        </w:rPr>
        <w:t xml:space="preserve">for individual samples </w:t>
      </w:r>
      <w:r w:rsidRPr="00E4462A">
        <w:rPr>
          <w:lang w:val="en-GB"/>
        </w:rPr>
        <w:t xml:space="preserve">(Koch et al., 2005; Kujawinski et al., 2009), of which many hundreds </w:t>
      </w:r>
      <w:r w:rsidR="00BC31D5" w:rsidRPr="00E4462A">
        <w:rPr>
          <w:lang w:val="en-GB"/>
        </w:rPr>
        <w:t>were</w:t>
      </w:r>
      <w:r w:rsidRPr="00E4462A">
        <w:rPr>
          <w:lang w:val="en-GB"/>
        </w:rPr>
        <w:t xml:space="preserve"> assigned here to extended CHO, CHNO, CHOS and CHNOS molecular series</w:t>
      </w:r>
      <w:r w:rsidR="00A304E8" w:rsidRPr="00E4462A">
        <w:rPr>
          <w:lang w:val="en-GB"/>
        </w:rPr>
        <w:t xml:space="preserve"> (Schmitt-Kopplin et al., 2010)</w:t>
      </w:r>
      <w:r w:rsidRPr="00E4462A">
        <w:rPr>
          <w:lang w:val="en-GB"/>
        </w:rPr>
        <w:t xml:space="preserve"> based on </w:t>
      </w:r>
      <w:r w:rsidR="00B06278" w:rsidRPr="00E4462A">
        <w:rPr>
          <w:lang w:val="en-GB"/>
        </w:rPr>
        <w:t xml:space="preserve">the technique’s </w:t>
      </w:r>
      <w:r w:rsidRPr="00E4462A">
        <w:rPr>
          <w:lang w:val="en-GB"/>
        </w:rPr>
        <w:t xml:space="preserve">excellent mass accuracy and mass resolution (Fig. </w:t>
      </w:r>
      <w:r w:rsidR="0069428C" w:rsidRPr="00E4462A">
        <w:rPr>
          <w:lang w:val="en-GB"/>
        </w:rPr>
        <w:t xml:space="preserve">6 </w:t>
      </w:r>
      <w:r w:rsidRPr="00E4462A">
        <w:rPr>
          <w:lang w:val="en-GB"/>
        </w:rPr>
        <w:t xml:space="preserve">and Table 3). </w:t>
      </w:r>
      <w:r w:rsidR="009054DD" w:rsidRPr="00E4462A">
        <w:rPr>
          <w:rFonts w:cs="Arial"/>
          <w:lang w:val="en-GB"/>
        </w:rPr>
        <w:t>Although</w:t>
      </w:r>
      <w:r w:rsidR="000601BE" w:rsidRPr="00E4462A">
        <w:rPr>
          <w:rFonts w:cs="Arial"/>
          <w:lang w:val="en-GB"/>
        </w:rPr>
        <w:t xml:space="preserve"> detailed FTICR</w:t>
      </w:r>
      <w:r w:rsidR="00BC31D5" w:rsidRPr="00E4462A">
        <w:rPr>
          <w:rFonts w:cs="Arial"/>
          <w:lang w:val="en-GB"/>
        </w:rPr>
        <w:t>/MS data are derived only from a few</w:t>
      </w:r>
      <w:r w:rsidR="000601BE" w:rsidRPr="00E4462A">
        <w:rPr>
          <w:rFonts w:cs="Arial"/>
          <w:lang w:val="en-GB"/>
        </w:rPr>
        <w:t xml:space="preserve"> pair</w:t>
      </w:r>
      <w:r w:rsidR="00BC31D5" w:rsidRPr="00E4462A">
        <w:rPr>
          <w:rFonts w:cs="Arial"/>
          <w:lang w:val="en-GB"/>
        </w:rPr>
        <w:t>ed SPE-DOM samples (Long and Short hydroperiod</w:t>
      </w:r>
      <w:r w:rsidR="000601BE" w:rsidRPr="00E4462A">
        <w:rPr>
          <w:rFonts w:cs="Arial"/>
          <w:lang w:val="en-GB"/>
        </w:rPr>
        <w:t xml:space="preserve">) for each wetland, a </w:t>
      </w:r>
      <w:r w:rsidR="00B22F54" w:rsidRPr="00E4462A">
        <w:rPr>
          <w:rFonts w:cs="Arial"/>
          <w:lang w:val="en-GB"/>
        </w:rPr>
        <w:t xml:space="preserve">slightly </w:t>
      </w:r>
      <w:r w:rsidR="000601BE" w:rsidRPr="00E4462A">
        <w:rPr>
          <w:rFonts w:cs="Arial"/>
          <w:lang w:val="en-GB"/>
        </w:rPr>
        <w:t xml:space="preserve">higher number of </w:t>
      </w:r>
      <w:r w:rsidR="00B22F54" w:rsidRPr="00E4462A">
        <w:rPr>
          <w:rFonts w:cs="Arial"/>
          <w:lang w:val="en-GB"/>
        </w:rPr>
        <w:t xml:space="preserve">mass peaks (relative difference &lt; 6%) and of assigned </w:t>
      </w:r>
      <w:r w:rsidR="000601BE" w:rsidRPr="00E4462A">
        <w:rPr>
          <w:rFonts w:cs="Arial"/>
          <w:lang w:val="en-GB"/>
        </w:rPr>
        <w:t xml:space="preserve">molecular formulas </w:t>
      </w:r>
      <w:r w:rsidR="00B22F54" w:rsidRPr="00E4462A">
        <w:rPr>
          <w:rFonts w:cs="Arial"/>
          <w:lang w:val="en-GB"/>
        </w:rPr>
        <w:t xml:space="preserve">(relative difference &lt; 1%) </w:t>
      </w:r>
      <w:r w:rsidR="000601BE" w:rsidRPr="00E4462A">
        <w:rPr>
          <w:rFonts w:cs="Arial"/>
          <w:lang w:val="en-GB"/>
        </w:rPr>
        <w:t>w</w:t>
      </w:r>
      <w:r w:rsidR="004266D6" w:rsidRPr="00E4462A">
        <w:rPr>
          <w:rFonts w:cs="Arial"/>
          <w:lang w:val="en-GB"/>
        </w:rPr>
        <w:t>as</w:t>
      </w:r>
      <w:r w:rsidR="000601BE" w:rsidRPr="00E4462A">
        <w:rPr>
          <w:rFonts w:cs="Arial"/>
          <w:lang w:val="en-GB"/>
        </w:rPr>
        <w:t xml:space="preserve"> observed for the FCE-L compared to the FCE-S, wh</w:t>
      </w:r>
      <w:r w:rsidR="00B22F54" w:rsidRPr="00E4462A">
        <w:rPr>
          <w:rFonts w:cs="Arial"/>
          <w:lang w:val="en-GB"/>
        </w:rPr>
        <w:t xml:space="preserve">ereas elevated counts of mass peaks and assigned molecular compositions were found in case of </w:t>
      </w:r>
      <w:r w:rsidR="000601BE" w:rsidRPr="00E4462A">
        <w:rPr>
          <w:rFonts w:cs="Arial"/>
          <w:lang w:val="en-GB"/>
        </w:rPr>
        <w:t>the PAN</w:t>
      </w:r>
      <w:r w:rsidR="00B22F54" w:rsidRPr="00E4462A">
        <w:rPr>
          <w:rFonts w:cs="Arial"/>
          <w:lang w:val="en-GB"/>
        </w:rPr>
        <w:t>-S</w:t>
      </w:r>
      <w:r w:rsidR="000601BE" w:rsidRPr="00E4462A">
        <w:rPr>
          <w:rFonts w:cs="Arial"/>
          <w:lang w:val="en-GB"/>
        </w:rPr>
        <w:t xml:space="preserve"> and OKA</w:t>
      </w:r>
      <w:r w:rsidR="00B22F54" w:rsidRPr="00E4462A">
        <w:rPr>
          <w:rFonts w:cs="Arial"/>
          <w:lang w:val="en-GB"/>
        </w:rPr>
        <w:t>-S</w:t>
      </w:r>
      <w:r w:rsidR="000601BE" w:rsidRPr="00E4462A">
        <w:rPr>
          <w:rFonts w:cs="Arial"/>
          <w:lang w:val="en-GB"/>
        </w:rPr>
        <w:t xml:space="preserve"> samples</w:t>
      </w:r>
      <w:r w:rsidR="00B22F54" w:rsidRPr="00E4462A">
        <w:rPr>
          <w:rFonts w:cs="Arial"/>
          <w:lang w:val="en-GB"/>
        </w:rPr>
        <w:t xml:space="preserve"> (relative difference &lt; 2%</w:t>
      </w:r>
      <w:r w:rsidR="00A304E8" w:rsidRPr="00E4462A">
        <w:rPr>
          <w:rFonts w:cs="Arial"/>
          <w:lang w:val="en-GB"/>
        </w:rPr>
        <w:t>;</w:t>
      </w:r>
      <w:r w:rsidR="00271478" w:rsidRPr="00E4462A">
        <w:rPr>
          <w:rFonts w:cs="Arial"/>
          <w:lang w:val="en-GB"/>
        </w:rPr>
        <w:t xml:space="preserve"> </w:t>
      </w:r>
      <w:r w:rsidR="00B22F54" w:rsidRPr="00E4462A">
        <w:rPr>
          <w:lang w:val="en-GB"/>
        </w:rPr>
        <w:t>Table 3)</w:t>
      </w:r>
      <w:r w:rsidR="000601BE" w:rsidRPr="00E4462A">
        <w:rPr>
          <w:rFonts w:cs="Arial"/>
          <w:lang w:val="en-GB"/>
        </w:rPr>
        <w:t xml:space="preserve">. </w:t>
      </w:r>
      <w:r w:rsidR="00B22F54" w:rsidRPr="00E4462A">
        <w:rPr>
          <w:rFonts w:cs="Arial"/>
          <w:lang w:val="en-GB"/>
        </w:rPr>
        <w:t>Molecular weights ranged in the order FCE-S &gt; FCE-L ~ PAN &gt; OKA (Table 3).</w:t>
      </w:r>
      <w:r w:rsidR="00B22F54" w:rsidRPr="00E4462A">
        <w:rPr>
          <w:lang w:val="en-GB"/>
        </w:rPr>
        <w:t xml:space="preserve"> </w:t>
      </w:r>
      <w:r w:rsidR="005B7640" w:rsidRPr="00E4462A">
        <w:rPr>
          <w:lang w:val="en-GB"/>
        </w:rPr>
        <w:t xml:space="preserve">This </w:t>
      </w:r>
      <w:r w:rsidR="004266D6" w:rsidRPr="00E4462A">
        <w:rPr>
          <w:lang w:val="en-GB"/>
        </w:rPr>
        <w:t xml:space="preserve">admittedly minor </w:t>
      </w:r>
      <w:r w:rsidR="005B7640" w:rsidRPr="00E4462A">
        <w:rPr>
          <w:lang w:val="en-GB"/>
        </w:rPr>
        <w:t>molecular weight difference was not reflected in the S</w:t>
      </w:r>
      <w:r w:rsidR="005B7640" w:rsidRPr="00E4462A">
        <w:rPr>
          <w:vertAlign w:val="subscript"/>
          <w:lang w:val="en-GB"/>
        </w:rPr>
        <w:t>R</w:t>
      </w:r>
      <w:r w:rsidR="005B7640" w:rsidRPr="00E4462A">
        <w:rPr>
          <w:lang w:val="en-GB"/>
        </w:rPr>
        <w:t xml:space="preserve"> values of these samples (Table 1) which were quite similar. However, S</w:t>
      </w:r>
      <w:r w:rsidR="005B7640" w:rsidRPr="00E4462A">
        <w:rPr>
          <w:vertAlign w:val="subscript"/>
          <w:lang w:val="en-GB"/>
        </w:rPr>
        <w:t>R</w:t>
      </w:r>
      <w:r w:rsidR="005B7640" w:rsidRPr="00E4462A">
        <w:rPr>
          <w:lang w:val="en-GB"/>
        </w:rPr>
        <w:t xml:space="preserve"> only represents </w:t>
      </w:r>
      <w:r w:rsidR="004266D6" w:rsidRPr="00E4462A">
        <w:rPr>
          <w:lang w:val="en-GB"/>
        </w:rPr>
        <w:t xml:space="preserve">a </w:t>
      </w:r>
      <w:r w:rsidR="005B7640" w:rsidRPr="00E4462A">
        <w:rPr>
          <w:lang w:val="en-GB"/>
        </w:rPr>
        <w:t xml:space="preserve">molecular weight </w:t>
      </w:r>
      <w:r w:rsidR="009054DD" w:rsidRPr="00E4462A">
        <w:rPr>
          <w:lang w:val="en-GB"/>
        </w:rPr>
        <w:t>proxy</w:t>
      </w:r>
      <w:r w:rsidR="005B7640" w:rsidRPr="00E4462A">
        <w:rPr>
          <w:lang w:val="en-GB"/>
        </w:rPr>
        <w:t xml:space="preserve"> for CDOM</w:t>
      </w:r>
      <w:r w:rsidR="009054DD" w:rsidRPr="00E4462A">
        <w:rPr>
          <w:lang w:val="en-GB"/>
        </w:rPr>
        <w:t xml:space="preserve"> and might not be sensitive enough to reflect minor differences accurately</w:t>
      </w:r>
      <w:r w:rsidR="005B7640" w:rsidRPr="00E4462A">
        <w:rPr>
          <w:lang w:val="en-GB"/>
        </w:rPr>
        <w:t xml:space="preserve">. </w:t>
      </w:r>
      <w:r w:rsidRPr="00E4462A">
        <w:rPr>
          <w:lang w:val="en-GB"/>
        </w:rPr>
        <w:t xml:space="preserve">In general, </w:t>
      </w:r>
      <w:r w:rsidR="000B5725" w:rsidRPr="00E4462A">
        <w:rPr>
          <w:lang w:val="en-GB"/>
        </w:rPr>
        <w:t xml:space="preserve">while </w:t>
      </w:r>
      <w:r w:rsidRPr="00E4462A">
        <w:rPr>
          <w:lang w:val="en-GB"/>
        </w:rPr>
        <w:t xml:space="preserve">SPE-DOM of both OKA and PAN showed near 57 ± 2% CHO, </w:t>
      </w:r>
      <w:r w:rsidR="006E674F" w:rsidRPr="00E4462A">
        <w:rPr>
          <w:lang w:val="en-GB"/>
        </w:rPr>
        <w:t xml:space="preserve">8 </w:t>
      </w:r>
      <w:r w:rsidRPr="00E4462A">
        <w:rPr>
          <w:lang w:val="en-GB"/>
        </w:rPr>
        <w:t xml:space="preserve">± </w:t>
      </w:r>
      <w:r w:rsidR="006E674F" w:rsidRPr="00E4462A">
        <w:rPr>
          <w:lang w:val="en-GB"/>
        </w:rPr>
        <w:t>2</w:t>
      </w:r>
      <w:r w:rsidRPr="00E4462A">
        <w:rPr>
          <w:lang w:val="en-GB"/>
        </w:rPr>
        <w:t xml:space="preserve">% CHOS, 33 ± 2 CHNO, and &lt; </w:t>
      </w:r>
      <w:r w:rsidR="000B5725" w:rsidRPr="00E4462A">
        <w:rPr>
          <w:lang w:val="en-GB"/>
        </w:rPr>
        <w:t>1% CHNOS molecules</w:t>
      </w:r>
      <w:r w:rsidRPr="00E4462A">
        <w:rPr>
          <w:lang w:val="en-GB"/>
        </w:rPr>
        <w:t xml:space="preserve">, </w:t>
      </w:r>
      <w:r w:rsidR="000B5725" w:rsidRPr="00E4462A">
        <w:rPr>
          <w:lang w:val="en-GB"/>
        </w:rPr>
        <w:t xml:space="preserve">the </w:t>
      </w:r>
      <w:r w:rsidR="00BC31D5" w:rsidRPr="00E4462A">
        <w:rPr>
          <w:lang w:val="en-GB"/>
        </w:rPr>
        <w:t>mass spectra of FCE samples</w:t>
      </w:r>
      <w:r w:rsidRPr="00E4462A">
        <w:rPr>
          <w:lang w:val="en-GB"/>
        </w:rPr>
        <w:t xml:space="preserve"> were fundamentally different compared with res</w:t>
      </w:r>
      <w:r w:rsidR="000B5725" w:rsidRPr="00E4462A">
        <w:rPr>
          <w:lang w:val="en-GB"/>
        </w:rPr>
        <w:t>pect to both OKA and PAN</w:t>
      </w:r>
      <w:r w:rsidRPr="00E4462A">
        <w:rPr>
          <w:lang w:val="en-GB"/>
        </w:rPr>
        <w:t xml:space="preserve"> as well as among themselves (Fig. </w:t>
      </w:r>
      <w:r w:rsidR="0069428C" w:rsidRPr="00E4462A">
        <w:rPr>
          <w:lang w:val="en-GB"/>
        </w:rPr>
        <w:t>6</w:t>
      </w:r>
      <w:r w:rsidRPr="00E4462A">
        <w:rPr>
          <w:lang w:val="en-GB"/>
        </w:rPr>
        <w:t xml:space="preserve">; Table 3; see also Fig. </w:t>
      </w:r>
      <w:r w:rsidR="0069428C" w:rsidRPr="00E4462A">
        <w:rPr>
          <w:lang w:val="en-GB"/>
        </w:rPr>
        <w:t>7</w:t>
      </w:r>
      <w:r w:rsidRPr="00E4462A">
        <w:rPr>
          <w:lang w:val="en-GB"/>
        </w:rPr>
        <w:t>).</w:t>
      </w:r>
      <w:r w:rsidR="00BC31D5" w:rsidRPr="00E4462A">
        <w:rPr>
          <w:lang w:val="en-GB"/>
        </w:rPr>
        <w:t xml:space="preserve"> Sample FCE-S appeared most distinct from all other samples both with respect to total count of ions, overall mass peak distribution and with respect to molecular diversity within nominal mass ranges (Fig. </w:t>
      </w:r>
      <w:r w:rsidR="0069428C" w:rsidRPr="00E4462A">
        <w:rPr>
          <w:lang w:val="en-GB"/>
        </w:rPr>
        <w:t>6</w:t>
      </w:r>
      <w:r w:rsidR="00BC31D5" w:rsidRPr="00E4462A">
        <w:rPr>
          <w:lang w:val="en-GB"/>
        </w:rPr>
        <w:t xml:space="preserve">). Here, </w:t>
      </w:r>
      <w:r w:rsidR="00AA36CE" w:rsidRPr="00E4462A">
        <w:rPr>
          <w:lang w:val="en-GB"/>
        </w:rPr>
        <w:t xml:space="preserve">FTICR mass spectra of </w:t>
      </w:r>
      <w:r w:rsidR="002A7035" w:rsidRPr="00E4462A">
        <w:rPr>
          <w:lang w:val="en-GB"/>
        </w:rPr>
        <w:t xml:space="preserve">both FCE samples </w:t>
      </w:r>
      <w:r w:rsidR="00BC31D5" w:rsidRPr="00E4462A">
        <w:rPr>
          <w:lang w:val="en-GB"/>
        </w:rPr>
        <w:t>showed the conspicuous doublets of CHO/CHOS pairs visible at high resolution (Δm (C</w:t>
      </w:r>
      <w:r w:rsidR="00BC31D5" w:rsidRPr="00E4462A">
        <w:rPr>
          <w:vertAlign w:val="subscript"/>
          <w:lang w:val="en-GB"/>
        </w:rPr>
        <w:t>-3</w:t>
      </w:r>
      <w:r w:rsidR="00BC31D5" w:rsidRPr="00E4462A">
        <w:rPr>
          <w:lang w:val="en-GB"/>
        </w:rPr>
        <w:t>H</w:t>
      </w:r>
      <w:r w:rsidR="00BC31D5" w:rsidRPr="00E4462A">
        <w:rPr>
          <w:vertAlign w:val="subscript"/>
          <w:lang w:val="en-GB"/>
        </w:rPr>
        <w:t>4</w:t>
      </w:r>
      <w:r w:rsidR="00BC31D5" w:rsidRPr="00E4462A">
        <w:rPr>
          <w:lang w:val="en-GB"/>
        </w:rPr>
        <w:t>S) = 2.4 mDa) indicating a nominal exchange of H</w:t>
      </w:r>
      <w:r w:rsidR="00BC31D5" w:rsidRPr="00E4462A">
        <w:rPr>
          <w:vertAlign w:val="subscript"/>
          <w:lang w:val="en-GB"/>
        </w:rPr>
        <w:t>4</w:t>
      </w:r>
      <w:r w:rsidR="00BC31D5" w:rsidRPr="00E4462A">
        <w:rPr>
          <w:lang w:val="en-GB"/>
        </w:rPr>
        <w:t>S against C</w:t>
      </w:r>
      <w:r w:rsidR="00BC31D5" w:rsidRPr="00E4462A">
        <w:rPr>
          <w:vertAlign w:val="subscript"/>
          <w:lang w:val="en-GB"/>
        </w:rPr>
        <w:t>3</w:t>
      </w:r>
      <w:r w:rsidR="00BC31D5" w:rsidRPr="00E4462A">
        <w:rPr>
          <w:lang w:val="en-GB"/>
        </w:rPr>
        <w:t xml:space="preserve"> (Schmitt-Kopplin et al., </w:t>
      </w:r>
      <w:r w:rsidR="004E398D" w:rsidRPr="00E4462A">
        <w:rPr>
          <w:lang w:val="en-GB"/>
        </w:rPr>
        <w:t>2010), whereas all other samples</w:t>
      </w:r>
      <w:r w:rsidR="00BC31D5" w:rsidRPr="00E4462A">
        <w:rPr>
          <w:lang w:val="en-GB"/>
        </w:rPr>
        <w:t xml:space="preserve"> showed both lower abundances and diversity of CHOS compounds (Fig. </w:t>
      </w:r>
      <w:r w:rsidR="0069428C" w:rsidRPr="00E4462A">
        <w:rPr>
          <w:lang w:val="en-GB"/>
        </w:rPr>
        <w:t>6</w:t>
      </w:r>
      <w:r w:rsidR="001726EF" w:rsidRPr="00E4462A">
        <w:rPr>
          <w:lang w:val="en-GB"/>
        </w:rPr>
        <w:t>,</w:t>
      </w:r>
      <w:r w:rsidR="00AA36CE" w:rsidRPr="00E4462A">
        <w:rPr>
          <w:lang w:val="en-GB"/>
        </w:rPr>
        <w:t xml:space="preserve"> Fig. </w:t>
      </w:r>
      <w:r w:rsidR="0069428C" w:rsidRPr="00E4462A">
        <w:rPr>
          <w:lang w:val="en-GB"/>
        </w:rPr>
        <w:t>7</w:t>
      </w:r>
      <w:r w:rsidR="001726EF" w:rsidRPr="00E4462A">
        <w:rPr>
          <w:lang w:val="en-GB"/>
        </w:rPr>
        <w:t xml:space="preserve"> and Fig. S7</w:t>
      </w:r>
      <w:r w:rsidR="00BC31D5" w:rsidRPr="00E4462A">
        <w:rPr>
          <w:lang w:val="en-GB"/>
        </w:rPr>
        <w:t>).</w:t>
      </w:r>
      <w:r w:rsidR="002A7035" w:rsidRPr="00E4462A">
        <w:rPr>
          <w:i/>
          <w:lang w:val="en-GB"/>
        </w:rPr>
        <w:t xml:space="preserve"> </w:t>
      </w:r>
      <w:r w:rsidR="000B5725" w:rsidRPr="00E4462A">
        <w:rPr>
          <w:lang w:val="en-GB"/>
        </w:rPr>
        <w:lastRenderedPageBreak/>
        <w:t>In case of the FCE samples, CHOS and CHNOS compounds were markedly enriched at the expense of CHO and CHNO compounds. While the proportion of CHNO (21 ± 1%) and CHNOS (9 ± 1%) molecules w</w:t>
      </w:r>
      <w:r w:rsidR="00483CA0" w:rsidRPr="00E4462A">
        <w:rPr>
          <w:lang w:val="en-GB"/>
        </w:rPr>
        <w:t>ere similar for both FCE samples</w:t>
      </w:r>
      <w:r w:rsidR="000B5725" w:rsidRPr="00E4462A">
        <w:rPr>
          <w:lang w:val="en-GB"/>
        </w:rPr>
        <w:t>, the abundance of CHOS molecules in FCE-S was elevated by more than 10%, predominantly at the expense of CHO molecules. The overall abundance of sulphur in the FCE was nearly four-fold when compared with that of the OKA and PAN samples (Table 3)</w:t>
      </w:r>
      <w:r w:rsidR="001726EF" w:rsidRPr="00E4462A">
        <w:rPr>
          <w:lang w:val="en-GB"/>
        </w:rPr>
        <w:t>, leading to a significant difference in composition between the three sites as indicated by the PCA (Fig. 8A)</w:t>
      </w:r>
      <w:r w:rsidR="000B5725" w:rsidRPr="00E4462A">
        <w:rPr>
          <w:lang w:val="en-GB"/>
        </w:rPr>
        <w:t>.</w:t>
      </w:r>
    </w:p>
    <w:p w14:paraId="37A13B31" w14:textId="590D4361" w:rsidR="00AE064A" w:rsidRPr="00E4462A" w:rsidRDefault="00AE064A" w:rsidP="008B22B1">
      <w:pPr>
        <w:spacing w:line="360" w:lineRule="auto"/>
        <w:ind w:firstLine="708"/>
        <w:jc w:val="both"/>
        <w:rPr>
          <w:lang w:val="en-GB"/>
        </w:rPr>
      </w:pPr>
      <w:r w:rsidRPr="00E4462A">
        <w:rPr>
          <w:lang w:val="en-GB"/>
        </w:rPr>
        <w:t>CHOS compounds observe</w:t>
      </w:r>
      <w:r w:rsidR="004E398D" w:rsidRPr="00E4462A">
        <w:rPr>
          <w:lang w:val="en-GB"/>
        </w:rPr>
        <w:t>d in all wetland samples</w:t>
      </w:r>
      <w:r w:rsidRPr="00E4462A">
        <w:rPr>
          <w:lang w:val="en-GB"/>
        </w:rPr>
        <w:t xml:space="preserve"> </w:t>
      </w:r>
      <w:r w:rsidR="00104CCA" w:rsidRPr="00E4462A">
        <w:rPr>
          <w:lang w:val="en-GB"/>
        </w:rPr>
        <w:t xml:space="preserve">already </w:t>
      </w:r>
      <w:r w:rsidRPr="00E4462A">
        <w:rPr>
          <w:lang w:val="en-GB"/>
        </w:rPr>
        <w:t>showed a remarkable chemical diversity</w:t>
      </w:r>
      <w:r w:rsidR="00A304E8" w:rsidRPr="00E4462A">
        <w:rPr>
          <w:lang w:val="en-GB"/>
        </w:rPr>
        <w:t xml:space="preserve"> (Fig. </w:t>
      </w:r>
      <w:r w:rsidR="0069428C" w:rsidRPr="00E4462A">
        <w:rPr>
          <w:lang w:val="en-GB"/>
        </w:rPr>
        <w:t>8B</w:t>
      </w:r>
      <w:r w:rsidR="00A304E8" w:rsidRPr="00E4462A">
        <w:rPr>
          <w:lang w:val="en-GB"/>
        </w:rPr>
        <w:t>)</w:t>
      </w:r>
      <w:r w:rsidRPr="00E4462A">
        <w:rPr>
          <w:lang w:val="en-GB"/>
        </w:rPr>
        <w:t>. However, the chemical di</w:t>
      </w:r>
      <w:r w:rsidR="00360FEA" w:rsidRPr="00E4462A">
        <w:rPr>
          <w:lang w:val="en-GB"/>
        </w:rPr>
        <w:t>ssimilarity</w:t>
      </w:r>
      <w:r w:rsidRPr="00E4462A">
        <w:rPr>
          <w:lang w:val="en-GB"/>
        </w:rPr>
        <w:t xml:space="preserve"> of CHOS compounds common to both FCE samples remarkably exceeded that found in OKA and PAN, covering a substantial share of the CHOS chemical space from O/C ratio: 0.3 </w:t>
      </w:r>
      <w:r w:rsidR="00271478" w:rsidRPr="00E4462A">
        <w:rPr>
          <w:lang w:val="en-GB"/>
        </w:rPr>
        <w:t xml:space="preserve">- </w:t>
      </w:r>
      <w:r w:rsidRPr="00E4462A">
        <w:rPr>
          <w:lang w:val="en-GB"/>
        </w:rPr>
        <w:t>0.8 and H/C ratio 0.6</w:t>
      </w:r>
      <w:r w:rsidR="00271478" w:rsidRPr="00E4462A">
        <w:rPr>
          <w:lang w:val="en-GB"/>
        </w:rPr>
        <w:t xml:space="preserve"> </w:t>
      </w:r>
      <w:r w:rsidRPr="00E4462A">
        <w:rPr>
          <w:lang w:val="en-GB"/>
        </w:rPr>
        <w:t>-</w:t>
      </w:r>
      <w:r w:rsidR="00271478" w:rsidRPr="00E4462A">
        <w:rPr>
          <w:lang w:val="en-GB"/>
        </w:rPr>
        <w:t xml:space="preserve"> </w:t>
      </w:r>
      <w:r w:rsidRPr="00E4462A">
        <w:rPr>
          <w:lang w:val="en-GB"/>
        </w:rPr>
        <w:t>1.7, respectively</w:t>
      </w:r>
      <w:r w:rsidR="00A304E8" w:rsidRPr="00E4462A">
        <w:rPr>
          <w:lang w:val="en-GB"/>
        </w:rPr>
        <w:t xml:space="preserve"> (Fig. </w:t>
      </w:r>
      <w:r w:rsidR="0069428C" w:rsidRPr="00E4462A">
        <w:rPr>
          <w:lang w:val="en-GB"/>
        </w:rPr>
        <w:t>8C</w:t>
      </w:r>
      <w:r w:rsidR="00A304E8" w:rsidRPr="00E4462A">
        <w:rPr>
          <w:lang w:val="en-GB"/>
        </w:rPr>
        <w:t>)</w:t>
      </w:r>
      <w:r w:rsidRPr="00E4462A">
        <w:rPr>
          <w:lang w:val="en-GB"/>
        </w:rPr>
        <w:t xml:space="preserve">. Here, four groups of CHOS molecules were differentiated based on their </w:t>
      </w:r>
      <w:r w:rsidR="00470C54" w:rsidRPr="00E4462A">
        <w:rPr>
          <w:lang w:val="en-GB"/>
        </w:rPr>
        <w:t xml:space="preserve">positioning </w:t>
      </w:r>
      <w:r w:rsidRPr="00E4462A">
        <w:rPr>
          <w:lang w:val="en-GB"/>
        </w:rPr>
        <w:t>in H/C against O/C van Krevelen diagrams (</w:t>
      </w:r>
      <w:r w:rsidR="00A52EC7" w:rsidRPr="00E4462A">
        <w:rPr>
          <w:lang w:val="en-GB"/>
        </w:rPr>
        <w:t xml:space="preserve">Fig. </w:t>
      </w:r>
      <w:r w:rsidR="0069428C" w:rsidRPr="00E4462A">
        <w:rPr>
          <w:lang w:val="en-GB"/>
        </w:rPr>
        <w:t>7F</w:t>
      </w:r>
      <w:r w:rsidRPr="00E4462A">
        <w:rPr>
          <w:lang w:val="en-GB"/>
        </w:rPr>
        <w:t xml:space="preserve">): </w:t>
      </w:r>
      <w:r w:rsidR="00050A13" w:rsidRPr="00E4462A">
        <w:rPr>
          <w:lang w:val="en-GB"/>
        </w:rPr>
        <w:t xml:space="preserve">(a) saturated sulfolipids with H/C ratio &gt; 2 and intermediate O/C ratio, suggesting </w:t>
      </w:r>
      <w:r w:rsidR="00E06AC1" w:rsidRPr="00E4462A">
        <w:rPr>
          <w:lang w:val="en-GB"/>
        </w:rPr>
        <w:t xml:space="preserve">the </w:t>
      </w:r>
      <w:r w:rsidR="00050A13" w:rsidRPr="00E4462A">
        <w:rPr>
          <w:lang w:val="en-GB"/>
        </w:rPr>
        <w:t xml:space="preserve">presence of sulphur in elevated oxidation states; </w:t>
      </w:r>
      <w:r w:rsidRPr="00E4462A">
        <w:rPr>
          <w:lang w:val="en-GB"/>
        </w:rPr>
        <w:t xml:space="preserve">(b) unsaturated sulfolipids with a rather restricted H/C and O/C ratio; </w:t>
      </w:r>
      <w:r w:rsidR="00050A13" w:rsidRPr="00E4462A">
        <w:rPr>
          <w:lang w:val="en-GB"/>
        </w:rPr>
        <w:t>(c) a very large and expansive set of molecularly diverse CHOS molecules with a bandwidth of O/C ratios similar to CHO compounds but reaching out to higher saturation (larger H/C ratio) than the latter</w:t>
      </w:r>
      <w:r w:rsidR="00A52EC7" w:rsidRPr="00E4462A">
        <w:rPr>
          <w:lang w:val="en-GB"/>
        </w:rPr>
        <w:t xml:space="preserve"> (Fig. </w:t>
      </w:r>
      <w:r w:rsidR="0069428C" w:rsidRPr="00E4462A">
        <w:rPr>
          <w:lang w:val="en-GB"/>
        </w:rPr>
        <w:t>7E</w:t>
      </w:r>
      <w:r w:rsidR="00470C54" w:rsidRPr="00E4462A">
        <w:rPr>
          <w:lang w:val="en-GB"/>
        </w:rPr>
        <w:t xml:space="preserve">, </w:t>
      </w:r>
      <w:r w:rsidR="00271478" w:rsidRPr="00E4462A">
        <w:rPr>
          <w:lang w:val="en-GB"/>
        </w:rPr>
        <w:t xml:space="preserve">Fig. </w:t>
      </w:r>
      <w:r w:rsidR="0069428C" w:rsidRPr="00E4462A">
        <w:rPr>
          <w:lang w:val="en-GB"/>
        </w:rPr>
        <w:t>7F</w:t>
      </w:r>
      <w:r w:rsidR="00470C54" w:rsidRPr="00E4462A">
        <w:rPr>
          <w:lang w:val="en-GB"/>
        </w:rPr>
        <w:t>)</w:t>
      </w:r>
      <w:r w:rsidR="002A7035" w:rsidRPr="00E4462A">
        <w:rPr>
          <w:lang w:val="en-GB"/>
        </w:rPr>
        <w:t>; (d) u</w:t>
      </w:r>
      <w:r w:rsidRPr="00E4462A">
        <w:rPr>
          <w:lang w:val="en-GB"/>
        </w:rPr>
        <w:t xml:space="preserve">nique to FCE-S </w:t>
      </w:r>
      <w:r w:rsidR="002A7035" w:rsidRPr="00E4462A">
        <w:rPr>
          <w:lang w:val="en-GB"/>
        </w:rPr>
        <w:t xml:space="preserve">(with traces in OKA-L) </w:t>
      </w:r>
      <w:r w:rsidR="00050A13" w:rsidRPr="00E4462A">
        <w:rPr>
          <w:lang w:val="en-GB"/>
        </w:rPr>
        <w:t>wa</w:t>
      </w:r>
      <w:r w:rsidRPr="00E4462A">
        <w:rPr>
          <w:lang w:val="en-GB"/>
        </w:rPr>
        <w:t>s a large set of aromatic and oxygen-deficient “black sulphur” compounds</w:t>
      </w:r>
      <w:r w:rsidR="00A52EC7" w:rsidRPr="00E4462A">
        <w:rPr>
          <w:lang w:val="en-GB"/>
        </w:rPr>
        <w:t xml:space="preserve"> (</w:t>
      </w:r>
      <w:r w:rsidR="00360FEA" w:rsidRPr="00E4462A">
        <w:rPr>
          <w:lang w:val="en-GB"/>
        </w:rPr>
        <w:t xml:space="preserve">DBS; </w:t>
      </w:r>
      <w:r w:rsidR="00A52EC7" w:rsidRPr="00E4462A">
        <w:rPr>
          <w:lang w:val="en-GB"/>
        </w:rPr>
        <w:t xml:space="preserve">section d; Fig. </w:t>
      </w:r>
      <w:r w:rsidR="0069428C" w:rsidRPr="00E4462A">
        <w:rPr>
          <w:lang w:val="en-GB"/>
        </w:rPr>
        <w:t>7F</w:t>
      </w:r>
      <w:r w:rsidRPr="00E4462A">
        <w:rPr>
          <w:lang w:val="en-GB"/>
        </w:rPr>
        <w:t xml:space="preserve">, similarly positioned like </w:t>
      </w:r>
      <w:r w:rsidR="00050A13" w:rsidRPr="00E4462A">
        <w:rPr>
          <w:lang w:val="en-GB"/>
        </w:rPr>
        <w:t xml:space="preserve">CHOS compounds in </w:t>
      </w:r>
      <w:r w:rsidRPr="00E4462A">
        <w:rPr>
          <w:lang w:val="en-GB"/>
        </w:rPr>
        <w:t>Atlantic open Ocean abyssopelagic SPE-DOM at 5446 m depth (Fig. S8 in Hertkorn et al., 2013), but covering a larger mass range (</w:t>
      </w:r>
      <w:r w:rsidR="00A52EC7" w:rsidRPr="00E4462A">
        <w:rPr>
          <w:lang w:val="en-GB"/>
        </w:rPr>
        <w:t>Fig. S7F</w:t>
      </w:r>
      <w:r w:rsidRPr="00E4462A">
        <w:rPr>
          <w:lang w:val="en-GB"/>
        </w:rPr>
        <w:t xml:space="preserve">). Section (b) and (c) CHOS compounds were also observed in PAN and OKA, whereas black sulphur compounds were rare in OKA-L </w:t>
      </w:r>
      <w:r w:rsidR="0022427D" w:rsidRPr="00E4462A">
        <w:rPr>
          <w:lang w:val="en-GB"/>
        </w:rPr>
        <w:t xml:space="preserve">(Fig. S8) </w:t>
      </w:r>
      <w:r w:rsidRPr="00E4462A">
        <w:rPr>
          <w:lang w:val="en-GB"/>
        </w:rPr>
        <w:t>and virtu</w:t>
      </w:r>
      <w:r w:rsidR="002A7035" w:rsidRPr="00E4462A">
        <w:rPr>
          <w:lang w:val="en-GB"/>
        </w:rPr>
        <w:t>ally absent in the other samples except FCE-S</w:t>
      </w:r>
      <w:r w:rsidRPr="00E4462A">
        <w:rPr>
          <w:lang w:val="en-GB"/>
        </w:rPr>
        <w:t xml:space="preserve">. </w:t>
      </w:r>
      <w:r w:rsidR="004E398D" w:rsidRPr="00E4462A">
        <w:rPr>
          <w:lang w:val="en-GB"/>
        </w:rPr>
        <w:t>D</w:t>
      </w:r>
      <w:r w:rsidRPr="00E4462A">
        <w:rPr>
          <w:lang w:val="en-GB"/>
        </w:rPr>
        <w:t>OM-type CHOS compounds c</w:t>
      </w:r>
      <w:r w:rsidR="002A7035" w:rsidRPr="00E4462A">
        <w:rPr>
          <w:lang w:val="en-GB"/>
        </w:rPr>
        <w:t>ommon to all six wetland samples</w:t>
      </w:r>
      <w:r w:rsidRPr="00E4462A">
        <w:rPr>
          <w:lang w:val="en-GB"/>
        </w:rPr>
        <w:t xml:space="preserve"> were on average more saturated and oxygenated than their respective CHO and CHNO counterparts, suggesting also here presence of sulphur in elevated oxidation states (Fig. </w:t>
      </w:r>
      <w:r w:rsidR="0069428C" w:rsidRPr="00E4462A">
        <w:rPr>
          <w:lang w:val="en-GB"/>
        </w:rPr>
        <w:t>8B</w:t>
      </w:r>
      <w:r w:rsidRPr="00E4462A">
        <w:rPr>
          <w:lang w:val="en-GB"/>
        </w:rPr>
        <w:t>).</w:t>
      </w:r>
    </w:p>
    <w:p w14:paraId="3F68952D" w14:textId="6CDEB5BB" w:rsidR="00271478" w:rsidRPr="00E4462A" w:rsidRDefault="005B7640" w:rsidP="008B22B1">
      <w:pPr>
        <w:spacing w:line="360" w:lineRule="auto"/>
        <w:ind w:firstLine="708"/>
        <w:jc w:val="both"/>
        <w:rPr>
          <w:lang w:val="en-US"/>
        </w:rPr>
      </w:pPr>
      <w:r w:rsidRPr="00E4462A">
        <w:rPr>
          <w:lang w:val="en-US"/>
        </w:rPr>
        <w:t>The CH</w:t>
      </w:r>
      <w:r w:rsidR="00E44CF9" w:rsidRPr="00E4462A">
        <w:rPr>
          <w:lang w:val="en-US"/>
        </w:rPr>
        <w:t>OS compounds of both FCE</w:t>
      </w:r>
      <w:r w:rsidR="00915909" w:rsidRPr="00E4462A">
        <w:rPr>
          <w:lang w:val="en-US"/>
        </w:rPr>
        <w:t xml:space="preserve"> samples</w:t>
      </w:r>
      <w:r w:rsidRPr="00E4462A">
        <w:rPr>
          <w:lang w:val="en-US"/>
        </w:rPr>
        <w:t xml:space="preserve"> not only differed fundamentally from th</w:t>
      </w:r>
      <w:r w:rsidR="00E44CF9" w:rsidRPr="00E4462A">
        <w:rPr>
          <w:lang w:val="en-US"/>
        </w:rPr>
        <w:t>ose found in OKA and PAN</w:t>
      </w:r>
      <w:r w:rsidRPr="00E4462A">
        <w:rPr>
          <w:lang w:val="en-US"/>
        </w:rPr>
        <w:t>, but were also remarkably diverse in both FCE</w:t>
      </w:r>
      <w:r w:rsidR="00104CCA" w:rsidRPr="00E4462A">
        <w:rPr>
          <w:lang w:val="en-US"/>
        </w:rPr>
        <w:t>-</w:t>
      </w:r>
      <w:r w:rsidRPr="00E4462A">
        <w:rPr>
          <w:lang w:val="en-US"/>
        </w:rPr>
        <w:t>L and FCE</w:t>
      </w:r>
      <w:r w:rsidR="00104CCA" w:rsidRPr="00E4462A">
        <w:rPr>
          <w:lang w:val="en-US"/>
        </w:rPr>
        <w:t>-</w:t>
      </w:r>
      <w:r w:rsidR="00E44CF9" w:rsidRPr="00E4462A">
        <w:rPr>
          <w:lang w:val="en-US"/>
        </w:rPr>
        <w:t xml:space="preserve">S </w:t>
      </w:r>
      <w:r w:rsidR="004E398D" w:rsidRPr="00E4462A">
        <w:rPr>
          <w:lang w:val="en-US"/>
        </w:rPr>
        <w:t>samples</w:t>
      </w:r>
      <w:r w:rsidRPr="00E4462A">
        <w:rPr>
          <w:lang w:val="en-US"/>
        </w:rPr>
        <w:t xml:space="preserve"> itself. Figure </w:t>
      </w:r>
      <w:r w:rsidR="0069428C" w:rsidRPr="00E4462A">
        <w:rPr>
          <w:lang w:val="en-US"/>
        </w:rPr>
        <w:t>9</w:t>
      </w:r>
      <w:r w:rsidRPr="00E4462A">
        <w:rPr>
          <w:lang w:val="en-US"/>
        </w:rPr>
        <w:t xml:space="preserve"> indicat</w:t>
      </w:r>
      <w:r w:rsidR="00214099" w:rsidRPr="00E4462A">
        <w:rPr>
          <w:lang w:val="en-US"/>
        </w:rPr>
        <w:t>es</w:t>
      </w:r>
      <w:r w:rsidRPr="00E4462A">
        <w:rPr>
          <w:lang w:val="en-US"/>
        </w:rPr>
        <w:t xml:space="preserve"> CHOS compounds </w:t>
      </w:r>
      <w:r w:rsidR="00A52EC7" w:rsidRPr="00E4462A">
        <w:rPr>
          <w:lang w:val="en-US"/>
        </w:rPr>
        <w:t>present</w:t>
      </w:r>
      <w:r w:rsidR="00214099" w:rsidRPr="00E4462A">
        <w:rPr>
          <w:lang w:val="en-US"/>
        </w:rPr>
        <w:t xml:space="preserve"> with elevated abundance</w:t>
      </w:r>
      <w:r w:rsidR="00A52EC7" w:rsidRPr="00E4462A">
        <w:rPr>
          <w:lang w:val="en-US"/>
        </w:rPr>
        <w:t xml:space="preserve"> in either FCE-S (Fig. </w:t>
      </w:r>
      <w:r w:rsidR="0069428C" w:rsidRPr="00E4462A">
        <w:rPr>
          <w:lang w:val="en-US"/>
        </w:rPr>
        <w:t>9A</w:t>
      </w:r>
      <w:r w:rsidRPr="00E4462A">
        <w:rPr>
          <w:lang w:val="en-US"/>
        </w:rPr>
        <w:t>) or FCE-L (</w:t>
      </w:r>
      <w:r w:rsidR="00A52EC7" w:rsidRPr="00E4462A">
        <w:rPr>
          <w:lang w:val="en-US"/>
        </w:rPr>
        <w:t xml:space="preserve">Fig. </w:t>
      </w:r>
      <w:r w:rsidR="0069428C" w:rsidRPr="00E4462A">
        <w:rPr>
          <w:lang w:val="en-US"/>
        </w:rPr>
        <w:t>9B</w:t>
      </w:r>
      <w:r w:rsidRPr="00E4462A">
        <w:rPr>
          <w:lang w:val="en-US"/>
        </w:rPr>
        <w:t>). The most peculiar feature of FCE-S was a hy</w:t>
      </w:r>
      <w:r w:rsidR="00E44CF9" w:rsidRPr="00E4462A">
        <w:rPr>
          <w:lang w:val="en-US"/>
        </w:rPr>
        <w:t>drogen-deficient pool of (poly)</w:t>
      </w:r>
      <w:r w:rsidRPr="00E4462A">
        <w:rPr>
          <w:lang w:val="en-US"/>
        </w:rPr>
        <w:t xml:space="preserve">aromatic CHOS compounds (section a mass peaks; Fig. </w:t>
      </w:r>
      <w:r w:rsidR="0069428C" w:rsidRPr="00E4462A">
        <w:rPr>
          <w:lang w:val="en-US"/>
        </w:rPr>
        <w:t>9A</w:t>
      </w:r>
      <w:r w:rsidRPr="00E4462A">
        <w:rPr>
          <w:lang w:val="en-US"/>
        </w:rPr>
        <w:t xml:space="preserve">) in extended molecular </w:t>
      </w:r>
      <w:r w:rsidRPr="00E4462A">
        <w:rPr>
          <w:lang w:val="en-US"/>
        </w:rPr>
        <w:lastRenderedPageBreak/>
        <w:t xml:space="preserve">series with limited degree of oxidation (O/C ratio &lt; 0.22), ranging from m/z </w:t>
      </w:r>
      <w:r w:rsidR="00271478" w:rsidRPr="00E4462A">
        <w:rPr>
          <w:rFonts w:ascii="Symbol" w:hAnsi="Symbol"/>
          <w:lang w:val="en-US"/>
        </w:rPr>
        <w:t></w:t>
      </w:r>
      <w:r w:rsidRPr="00E4462A">
        <w:rPr>
          <w:lang w:val="en-US"/>
        </w:rPr>
        <w:t xml:space="preserve"> 300 - 600. The positioning in both van Krevelen and mass-edited H/C ratio diagrams (Fig. </w:t>
      </w:r>
      <w:r w:rsidR="0069428C" w:rsidRPr="00E4462A">
        <w:rPr>
          <w:lang w:val="en-US"/>
        </w:rPr>
        <w:t>9</w:t>
      </w:r>
      <w:r w:rsidRPr="00E4462A">
        <w:rPr>
          <w:lang w:val="en-US"/>
        </w:rPr>
        <w:t xml:space="preserve">) was in accordance with that of ´black </w:t>
      </w:r>
      <w:r w:rsidR="002A7035" w:rsidRPr="00E4462A">
        <w:rPr>
          <w:lang w:val="en-US"/>
        </w:rPr>
        <w:t>sulphur</w:t>
      </w:r>
      <w:r w:rsidRPr="00E4462A">
        <w:rPr>
          <w:lang w:val="en-US"/>
        </w:rPr>
        <w:t>´ in abyssopelagic Sou</w:t>
      </w:r>
      <w:r w:rsidR="00A52EC7" w:rsidRPr="00E4462A">
        <w:rPr>
          <w:lang w:val="en-US"/>
        </w:rPr>
        <w:t>th Atlantic SPE-DOM (Fig. S8</w:t>
      </w:r>
      <w:r w:rsidR="0022427D" w:rsidRPr="00E4462A">
        <w:rPr>
          <w:lang w:val="en-US"/>
        </w:rPr>
        <w:t xml:space="preserve"> and</w:t>
      </w:r>
      <w:r w:rsidR="00A52EC7" w:rsidRPr="00E4462A">
        <w:rPr>
          <w:lang w:val="en-US"/>
        </w:rPr>
        <w:t xml:space="preserve"> Fig. 16 </w:t>
      </w:r>
      <w:r w:rsidR="00470C54" w:rsidRPr="00E4462A">
        <w:rPr>
          <w:lang w:val="en-US"/>
        </w:rPr>
        <w:t xml:space="preserve">in </w:t>
      </w:r>
      <w:r w:rsidRPr="00E4462A">
        <w:rPr>
          <w:lang w:val="en-US"/>
        </w:rPr>
        <w:t xml:space="preserve">Hertkorn et al., 2013), but its signature was more conspicuous and showed larger richness of diverse CHOS compounds in FCE-S. </w:t>
      </w:r>
      <w:r w:rsidR="00050A13" w:rsidRPr="00E4462A">
        <w:rPr>
          <w:lang w:val="en-GB"/>
        </w:rPr>
        <w:t xml:space="preserve">While sulphur can be readily inserted into any C-C and C-H bond, analogous to oxygen, organic sulphur can also occupy oxidation states ranging from -2 to +6, an option not available to oxygen. Nevertheless, the manifest oxygen-deficiency of the proposed highly unsaturated CHOS molecules (section d; Fig. </w:t>
      </w:r>
      <w:r w:rsidR="0069428C" w:rsidRPr="00E4462A">
        <w:rPr>
          <w:lang w:val="en-GB"/>
        </w:rPr>
        <w:t>7F</w:t>
      </w:r>
      <w:r w:rsidR="00050A13" w:rsidRPr="00E4462A">
        <w:rPr>
          <w:lang w:val="en-GB"/>
        </w:rPr>
        <w:t xml:space="preserve">) suggests </w:t>
      </w:r>
      <w:r w:rsidR="004E4FA3" w:rsidRPr="00E4462A">
        <w:rPr>
          <w:lang w:val="en-GB"/>
        </w:rPr>
        <w:t xml:space="preserve">the </w:t>
      </w:r>
      <w:r w:rsidR="00050A13" w:rsidRPr="00E4462A">
        <w:rPr>
          <w:lang w:val="en-GB"/>
        </w:rPr>
        <w:t xml:space="preserve">presence of reduced sulphur in the form of sulphides. Aromatic CHOS molecules will then most likely occur as </w:t>
      </w:r>
      <w:r w:rsidR="00214099" w:rsidRPr="00E4462A">
        <w:rPr>
          <w:lang w:val="en-GB"/>
        </w:rPr>
        <w:t>benzo</w:t>
      </w:r>
      <w:r w:rsidR="00050A13" w:rsidRPr="00E4462A">
        <w:rPr>
          <w:lang w:val="en-GB"/>
        </w:rPr>
        <w:t>thiophene derivatives, a chemical environment of sulphur largely favoured in mineral oils</w:t>
      </w:r>
      <w:r w:rsidR="00050A13" w:rsidRPr="00E4462A">
        <w:rPr>
          <w:rFonts w:cs="Arial"/>
          <w:lang w:val="en-GB"/>
        </w:rPr>
        <w:t xml:space="preserve"> (</w:t>
      </w:r>
      <w:r w:rsidR="00A52EC7" w:rsidRPr="00E4462A">
        <w:rPr>
          <w:rFonts w:cs="Arial"/>
          <w:lang w:val="en-GB"/>
        </w:rPr>
        <w:t>Purcell et al., 2007; Liu et al., 2010;</w:t>
      </w:r>
      <w:r w:rsidR="00707A92" w:rsidRPr="00E4462A">
        <w:rPr>
          <w:rFonts w:cs="Arial"/>
          <w:lang w:val="en-GB"/>
        </w:rPr>
        <w:t xml:space="preserve"> </w:t>
      </w:r>
      <w:r w:rsidR="00251E21" w:rsidRPr="00E4462A">
        <w:rPr>
          <w:rFonts w:cs="Arial"/>
          <w:lang w:val="en-GB"/>
        </w:rPr>
        <w:t>Muller et al., 2012</w:t>
      </w:r>
      <w:r w:rsidR="00050A13" w:rsidRPr="00E4462A">
        <w:rPr>
          <w:rFonts w:cs="Arial"/>
          <w:lang w:val="en-GB"/>
        </w:rPr>
        <w:t xml:space="preserve">). While both black carbon as well as black nitrogen </w:t>
      </w:r>
      <w:r w:rsidR="00745F66" w:rsidRPr="00E4462A">
        <w:rPr>
          <w:rFonts w:cs="Arial"/>
          <w:lang w:val="en-GB"/>
        </w:rPr>
        <w:t>(Wagner et al., 2015</w:t>
      </w:r>
      <w:r w:rsidR="00FC5AF8" w:rsidRPr="00E4462A">
        <w:rPr>
          <w:rFonts w:cs="Arial"/>
          <w:lang w:val="en-GB"/>
        </w:rPr>
        <w:t>b</w:t>
      </w:r>
      <w:r w:rsidR="00745F66" w:rsidRPr="00E4462A">
        <w:rPr>
          <w:rFonts w:cs="Arial"/>
          <w:lang w:val="en-GB"/>
        </w:rPr>
        <w:t xml:space="preserve">) </w:t>
      </w:r>
      <w:r w:rsidR="00050A13" w:rsidRPr="00E4462A">
        <w:rPr>
          <w:rFonts w:cs="Arial"/>
          <w:lang w:val="en-GB"/>
        </w:rPr>
        <w:t>have been reported in the FCE (Ding et al., 2014</w:t>
      </w:r>
      <w:r w:rsidR="00DD7F2B" w:rsidRPr="00E4462A">
        <w:rPr>
          <w:rFonts w:cs="Arial"/>
          <w:lang w:val="en-GB"/>
        </w:rPr>
        <w:t xml:space="preserve"> a and </w:t>
      </w:r>
      <w:r w:rsidR="00043972" w:rsidRPr="00E4462A">
        <w:rPr>
          <w:rFonts w:cs="Arial"/>
          <w:lang w:val="en-GB"/>
        </w:rPr>
        <w:t>b</w:t>
      </w:r>
      <w:r w:rsidR="00050A13" w:rsidRPr="00E4462A">
        <w:rPr>
          <w:rFonts w:cs="Arial"/>
          <w:lang w:val="en-GB"/>
        </w:rPr>
        <w:t>; Maie et al.</w:t>
      </w:r>
      <w:r w:rsidR="00DD7F2B" w:rsidRPr="00E4462A">
        <w:rPr>
          <w:rFonts w:cs="Arial"/>
          <w:lang w:val="en-GB"/>
        </w:rPr>
        <w:t>, 2006</w:t>
      </w:r>
      <w:r w:rsidR="00050A13" w:rsidRPr="00E4462A">
        <w:rPr>
          <w:rFonts w:cs="Arial"/>
          <w:lang w:val="en-GB"/>
        </w:rPr>
        <w:t xml:space="preserve">) the presence of this ‘black sulphur’ was </w:t>
      </w:r>
      <w:r w:rsidR="00DD7F2B" w:rsidRPr="00E4462A">
        <w:rPr>
          <w:rFonts w:cs="Arial"/>
          <w:lang w:val="en-GB"/>
        </w:rPr>
        <w:t>not previously observed at FCE</w:t>
      </w:r>
      <w:r w:rsidR="00050A13" w:rsidRPr="00E4462A">
        <w:rPr>
          <w:rFonts w:cs="Arial"/>
          <w:lang w:val="en-GB"/>
        </w:rPr>
        <w:t xml:space="preserve">. The environmental factors driving the high abundance of these compounds at FCE-S remain unclear but may be related to the higher fire frequency at short hydroperiod sites and possibly soil charring. </w:t>
      </w:r>
      <w:r w:rsidRPr="00E4462A">
        <w:rPr>
          <w:lang w:val="en-US"/>
        </w:rPr>
        <w:t xml:space="preserve">A small set of CHOS compounds with more average H/C and O/C ratios (section b mass peaks; Fig. </w:t>
      </w:r>
      <w:r w:rsidR="0069428C" w:rsidRPr="00E4462A">
        <w:rPr>
          <w:lang w:val="en-US"/>
        </w:rPr>
        <w:t>9A</w:t>
      </w:r>
      <w:r w:rsidRPr="00E4462A">
        <w:rPr>
          <w:lang w:val="en-US"/>
        </w:rPr>
        <w:t xml:space="preserve">) was accompanied by a rather minor set of highly oxygenated CHNOS compounds, with an O/C ratio &gt; 0.75 (Fig. </w:t>
      </w:r>
      <w:r w:rsidR="0069428C" w:rsidRPr="00E4462A">
        <w:rPr>
          <w:lang w:val="en-US"/>
        </w:rPr>
        <w:t>9A</w:t>
      </w:r>
      <w:r w:rsidR="00B604A3" w:rsidRPr="00E4462A">
        <w:rPr>
          <w:lang w:val="en-US"/>
        </w:rPr>
        <w:t>).</w:t>
      </w:r>
    </w:p>
    <w:p w14:paraId="2A2FB90A" w14:textId="4CE8681F" w:rsidR="005B7640" w:rsidRPr="00E4462A" w:rsidRDefault="000039DB" w:rsidP="008B22B1">
      <w:pPr>
        <w:spacing w:line="360" w:lineRule="auto"/>
        <w:ind w:firstLine="708"/>
        <w:jc w:val="both"/>
        <w:rPr>
          <w:lang w:val="en-US"/>
        </w:rPr>
      </w:pPr>
      <w:r w:rsidRPr="00E4462A">
        <w:rPr>
          <w:lang w:val="en-US"/>
        </w:rPr>
        <w:t>In contrast to the FCE-S, t</w:t>
      </w:r>
      <w:r w:rsidR="00C83040" w:rsidRPr="00E4462A">
        <w:rPr>
          <w:lang w:val="en-US"/>
        </w:rPr>
        <w:t xml:space="preserve">he </w:t>
      </w:r>
      <w:r w:rsidR="005B7640" w:rsidRPr="00E4462A">
        <w:rPr>
          <w:lang w:val="en-US"/>
        </w:rPr>
        <w:t xml:space="preserve">FCE-L </w:t>
      </w:r>
      <w:r w:rsidR="00C83040" w:rsidRPr="00E4462A">
        <w:rPr>
          <w:lang w:val="en-US"/>
        </w:rPr>
        <w:t xml:space="preserve">sample </w:t>
      </w:r>
      <w:r w:rsidR="00714EB4" w:rsidRPr="00E4462A">
        <w:rPr>
          <w:lang w:val="en-US"/>
        </w:rPr>
        <w:t xml:space="preserve">displayed </w:t>
      </w:r>
      <w:r w:rsidR="005B7640" w:rsidRPr="00E4462A">
        <w:rPr>
          <w:lang w:val="en-US"/>
        </w:rPr>
        <w:t xml:space="preserve">an oxygenated set (O/C ratio &gt; 0.6) of a few dozen hydrogen-deficient (H/C ratio &lt; 1.1) CHOS molecules in truncated molecular series and at rather low mass (m/z &lt; 400; Fig. </w:t>
      </w:r>
      <w:r w:rsidR="0069428C" w:rsidRPr="00E4462A">
        <w:rPr>
          <w:lang w:val="en-US"/>
        </w:rPr>
        <w:t xml:space="preserve">9B </w:t>
      </w:r>
      <w:r w:rsidR="00A52EC7" w:rsidRPr="00E4462A">
        <w:rPr>
          <w:lang w:val="en-US"/>
        </w:rPr>
        <w:t>section d mass peaks</w:t>
      </w:r>
      <w:r w:rsidR="005B7640" w:rsidRPr="00E4462A">
        <w:rPr>
          <w:lang w:val="en-US"/>
        </w:rPr>
        <w:t xml:space="preserve">). These molecules were most likely composed of oxygenated aromatics connected by (some) ether bridges, which rather likely originate ultimately from plant and/or algal polyphenols. Apart from PAH derived compounds, which are commonly rather oxygen-deficient (O/C ratio &lt; 0.3), these structures represent one of the most plausible motifs of very hydrogen-deficient molecules found in </w:t>
      </w:r>
      <w:r w:rsidR="00F25D4B" w:rsidRPr="00E4462A">
        <w:rPr>
          <w:lang w:val="en-US"/>
        </w:rPr>
        <w:t>D</w:t>
      </w:r>
      <w:r w:rsidR="005B7640" w:rsidRPr="00E4462A">
        <w:rPr>
          <w:lang w:val="en-US"/>
        </w:rPr>
        <w:t xml:space="preserve">OM (H/C ratio &lt; 1). The large extent of average oxygenation makes </w:t>
      </w:r>
      <w:r w:rsidR="002A7035" w:rsidRPr="00E4462A">
        <w:rPr>
          <w:lang w:val="en-US"/>
        </w:rPr>
        <w:t>sulphur</w:t>
      </w:r>
      <w:r w:rsidR="005B7640" w:rsidRPr="00E4462A">
        <w:rPr>
          <w:lang w:val="en-US"/>
        </w:rPr>
        <w:t xml:space="preserve"> functional groups in elevated oxidat</w:t>
      </w:r>
      <w:r w:rsidR="00B604A3" w:rsidRPr="00E4462A">
        <w:rPr>
          <w:lang w:val="en-US"/>
        </w:rPr>
        <w:t>ion states, e.g. sulfones</w:t>
      </w:r>
      <w:r w:rsidR="00470C54" w:rsidRPr="00E4462A">
        <w:rPr>
          <w:lang w:val="en-US"/>
        </w:rPr>
        <w:t xml:space="preserve">, </w:t>
      </w:r>
      <w:r w:rsidR="005B7640" w:rsidRPr="00E4462A">
        <w:rPr>
          <w:lang w:val="en-US"/>
        </w:rPr>
        <w:t>sulfonates</w:t>
      </w:r>
      <w:r w:rsidR="00470C54" w:rsidRPr="00E4462A">
        <w:rPr>
          <w:lang w:val="en-US"/>
        </w:rPr>
        <w:t xml:space="preserve"> or sulfates</w:t>
      </w:r>
      <w:r w:rsidR="00162316" w:rsidRPr="00E4462A">
        <w:rPr>
          <w:lang w:val="en-US"/>
        </w:rPr>
        <w:t>,</w:t>
      </w:r>
      <w:r w:rsidR="005B7640" w:rsidRPr="00E4462A">
        <w:rPr>
          <w:lang w:val="en-US"/>
        </w:rPr>
        <w:t xml:space="preserve"> likely candidates for this group of CHOS compounds.</w:t>
      </w:r>
    </w:p>
    <w:p w14:paraId="03DA785F" w14:textId="77777777" w:rsidR="00470C54" w:rsidRPr="00E4462A" w:rsidRDefault="005B7640" w:rsidP="008B22B1">
      <w:pPr>
        <w:spacing w:line="360" w:lineRule="auto"/>
        <w:ind w:firstLine="708"/>
        <w:jc w:val="both"/>
        <w:rPr>
          <w:rFonts w:cs="Arial"/>
          <w:lang w:val="en-GB"/>
        </w:rPr>
      </w:pPr>
      <w:r w:rsidRPr="00E4462A">
        <w:rPr>
          <w:lang w:val="en-US"/>
        </w:rPr>
        <w:t>In addition, a rather expansive cloud of abundant CHOS and less common CHNOS compounds at mass range m/z: 200 – 550, with large and variable extent of oxygenation (O/C ratio: 0.4 – 0.95) was prominent in FC</w:t>
      </w:r>
      <w:r w:rsidR="00F25D4B" w:rsidRPr="00E4462A">
        <w:rPr>
          <w:lang w:val="en-US"/>
        </w:rPr>
        <w:t>E-L and near absent in FCE-S</w:t>
      </w:r>
      <w:r w:rsidRPr="00E4462A">
        <w:rPr>
          <w:lang w:val="en-US"/>
        </w:rPr>
        <w:t xml:space="preserve">. The sizable expansion of </w:t>
      </w:r>
      <w:r w:rsidRPr="00E4462A">
        <w:rPr>
          <w:lang w:val="en-US"/>
        </w:rPr>
        <w:lastRenderedPageBreak/>
        <w:t>this cloud with a huge range of H/C ratios testified for a rather large overall diversity of these unique CHOS m</w:t>
      </w:r>
      <w:r w:rsidR="000039DB" w:rsidRPr="00E4462A">
        <w:rPr>
          <w:lang w:val="en-US"/>
        </w:rPr>
        <w:t>olecules found solely in</w:t>
      </w:r>
      <w:r w:rsidRPr="00E4462A">
        <w:rPr>
          <w:lang w:val="en-US"/>
        </w:rPr>
        <w:t xml:space="preserve"> FCE-L; CHNOS compounds seem</w:t>
      </w:r>
      <w:r w:rsidR="00470C54" w:rsidRPr="00E4462A">
        <w:rPr>
          <w:lang w:val="en-US"/>
        </w:rPr>
        <w:t>ed</w:t>
      </w:r>
      <w:r w:rsidRPr="00E4462A">
        <w:rPr>
          <w:lang w:val="en-US"/>
        </w:rPr>
        <w:t xml:space="preserve"> to follow suit but with a lesser overall diversity: highly oxygenated (O/C ratio &gt; 0.8) and hydrogen-rich CHNOS molecules (H/C &gt; 1.6) were missing even if every </w:t>
      </w:r>
      <w:r w:rsidR="00470C54" w:rsidRPr="00E4462A">
        <w:rPr>
          <w:lang w:val="en-US"/>
        </w:rPr>
        <w:t xml:space="preserve">added </w:t>
      </w:r>
      <w:r w:rsidRPr="00E4462A">
        <w:rPr>
          <w:lang w:val="en-US"/>
        </w:rPr>
        <w:t>nitrogen carried one intrinsic hydrogen into analogous CHO molecular formulas.</w:t>
      </w:r>
      <w:r w:rsidR="00470C54" w:rsidRPr="00E4462A">
        <w:rPr>
          <w:rFonts w:cs="Arial"/>
          <w:lang w:val="en-GB"/>
        </w:rPr>
        <w:t xml:space="preserve"> This higher molecular diversity for the FCE-L site may be driven by higher soil-derived (peat soils) DOM contributions at this site compared to FCE-S (marl soils) (Chen et al., 2013) and a higher degree of DOM preservation at this deepe</w:t>
      </w:r>
      <w:r w:rsidR="007A4ABD" w:rsidRPr="00E4462A">
        <w:rPr>
          <w:rFonts w:cs="Arial"/>
          <w:lang w:val="en-GB"/>
        </w:rPr>
        <w:t>r, less photo-exposed</w:t>
      </w:r>
      <w:r w:rsidR="00470C54" w:rsidRPr="00E4462A">
        <w:rPr>
          <w:rFonts w:cs="Arial"/>
          <w:lang w:val="en-GB"/>
        </w:rPr>
        <w:t xml:space="preserve"> site.</w:t>
      </w:r>
    </w:p>
    <w:p w14:paraId="6F488FC7" w14:textId="3E962FC7" w:rsidR="005B7640" w:rsidRPr="00E4462A" w:rsidRDefault="005B7640" w:rsidP="008B22B1">
      <w:pPr>
        <w:spacing w:line="360" w:lineRule="auto"/>
        <w:jc w:val="both"/>
        <w:rPr>
          <w:rFonts w:cs="Arial"/>
          <w:lang w:val="en-GB"/>
        </w:rPr>
      </w:pPr>
      <w:r w:rsidRPr="00E4462A">
        <w:rPr>
          <w:lang w:val="en-US"/>
        </w:rPr>
        <w:t xml:space="preserve"> </w:t>
      </w:r>
      <w:r w:rsidR="00B604A3" w:rsidRPr="00E4462A">
        <w:rPr>
          <w:lang w:val="en-US"/>
        </w:rPr>
        <w:tab/>
      </w:r>
      <w:r w:rsidRPr="00E4462A">
        <w:rPr>
          <w:lang w:val="en-US"/>
        </w:rPr>
        <w:t>It has to be mentioned that this cloud encircled the common molecular series of several hundreds of CHOS and CHNOS com</w:t>
      </w:r>
      <w:r w:rsidR="000039DB" w:rsidRPr="00E4462A">
        <w:rPr>
          <w:lang w:val="en-US"/>
        </w:rPr>
        <w:t>pounds found in both FCE samples</w:t>
      </w:r>
      <w:r w:rsidRPr="00E4462A">
        <w:rPr>
          <w:lang w:val="en-US"/>
        </w:rPr>
        <w:t xml:space="preserve"> (Fig. </w:t>
      </w:r>
      <w:r w:rsidR="0069428C" w:rsidRPr="00E4462A">
        <w:rPr>
          <w:lang w:val="en-US"/>
        </w:rPr>
        <w:t>7E</w:t>
      </w:r>
      <w:r w:rsidRPr="00E4462A">
        <w:rPr>
          <w:lang w:val="en-US"/>
        </w:rPr>
        <w:t xml:space="preserve">, </w:t>
      </w:r>
      <w:r w:rsidR="0069428C" w:rsidRPr="00E4462A">
        <w:rPr>
          <w:lang w:val="en-US"/>
        </w:rPr>
        <w:t>7F</w:t>
      </w:r>
      <w:r w:rsidRPr="00E4462A">
        <w:rPr>
          <w:lang w:val="en-US"/>
        </w:rPr>
        <w:t xml:space="preserve">, </w:t>
      </w:r>
      <w:r w:rsidR="0069428C" w:rsidRPr="00E4462A">
        <w:rPr>
          <w:lang w:val="en-US"/>
        </w:rPr>
        <w:t>8C</w:t>
      </w:r>
      <w:r w:rsidRPr="00E4462A">
        <w:rPr>
          <w:lang w:val="en-US"/>
        </w:rPr>
        <w:t>).</w:t>
      </w:r>
      <w:r w:rsidR="00470C54" w:rsidRPr="00E4462A">
        <w:rPr>
          <w:rFonts w:cs="Arial"/>
          <w:lang w:val="en-GB"/>
        </w:rPr>
        <w:t xml:space="preserve"> The significantly higher presence of sulphur-containing molecular formulas for the FCE samples is likely the result of higher inputs of sulphate to the Everglades compared to the Pantanal and Okavango. Firstly, Everglades is a coastal wetland where sea-spray may be an important contributor to sulphate. In addition, it is the most anthropogenically impacted wetland of the three being compared, where runoff from agricultural lands wit</w:t>
      </w:r>
      <w:r w:rsidR="00111C8E" w:rsidRPr="00E4462A">
        <w:rPr>
          <w:rFonts w:cs="Arial"/>
          <w:lang w:val="en-GB"/>
        </w:rPr>
        <w:t>hin the Everglades watershed is</w:t>
      </w:r>
      <w:r w:rsidR="00470C54" w:rsidRPr="00E4462A">
        <w:rPr>
          <w:rFonts w:cs="Arial"/>
          <w:lang w:val="en-GB"/>
        </w:rPr>
        <w:t xml:space="preserve"> likely </w:t>
      </w:r>
      <w:r w:rsidR="00111C8E" w:rsidRPr="00E4462A">
        <w:rPr>
          <w:rFonts w:cs="Arial"/>
          <w:lang w:val="en-GB"/>
        </w:rPr>
        <w:t xml:space="preserve">the most important </w:t>
      </w:r>
      <w:r w:rsidR="00470C54" w:rsidRPr="00E4462A">
        <w:rPr>
          <w:rFonts w:cs="Arial"/>
          <w:lang w:val="en-GB"/>
        </w:rPr>
        <w:t>contributing</w:t>
      </w:r>
      <w:r w:rsidR="00111C8E" w:rsidRPr="00E4462A">
        <w:rPr>
          <w:rFonts w:cs="Arial"/>
          <w:lang w:val="en-GB"/>
        </w:rPr>
        <w:t xml:space="preserve"> factor</w:t>
      </w:r>
      <w:r w:rsidR="00470C54" w:rsidRPr="00E4462A">
        <w:rPr>
          <w:rFonts w:cs="Arial"/>
          <w:lang w:val="en-GB"/>
        </w:rPr>
        <w:t xml:space="preserve"> to the sulphur load of the system as </w:t>
      </w:r>
      <w:r w:rsidR="00111C8E" w:rsidRPr="00E4462A">
        <w:rPr>
          <w:rFonts w:cs="Arial"/>
          <w:lang w:val="en-GB"/>
        </w:rPr>
        <w:t xml:space="preserve">it is </w:t>
      </w:r>
      <w:r w:rsidR="00470C54" w:rsidRPr="00E4462A">
        <w:rPr>
          <w:rFonts w:cs="Arial"/>
          <w:lang w:val="en-GB"/>
        </w:rPr>
        <w:t>a</w:t>
      </w:r>
      <w:r w:rsidR="00E30E26" w:rsidRPr="00E4462A">
        <w:rPr>
          <w:rFonts w:cs="Arial"/>
          <w:lang w:val="en-GB"/>
        </w:rPr>
        <w:t>n</w:t>
      </w:r>
      <w:r w:rsidR="00470C54" w:rsidRPr="00E4462A">
        <w:rPr>
          <w:rFonts w:cs="Arial"/>
          <w:lang w:val="en-GB"/>
        </w:rPr>
        <w:t xml:space="preserve"> ingredient of fertilizer applications. </w:t>
      </w:r>
      <w:r w:rsidRPr="00E4462A">
        <w:rPr>
          <w:lang w:val="en-GB"/>
        </w:rPr>
        <w:t>The CHO and CHNO components specific for the OKA and PAN samples</w:t>
      </w:r>
      <w:r w:rsidR="00A52EC7" w:rsidRPr="00E4462A">
        <w:rPr>
          <w:lang w:val="en-GB"/>
        </w:rPr>
        <w:t xml:space="preserve"> are shown in Figure </w:t>
      </w:r>
      <w:r w:rsidR="0069428C" w:rsidRPr="00E4462A">
        <w:rPr>
          <w:lang w:val="en-GB"/>
        </w:rPr>
        <w:t xml:space="preserve">8F </w:t>
      </w:r>
      <w:r w:rsidRPr="00E4462A">
        <w:rPr>
          <w:lang w:val="en-GB"/>
        </w:rPr>
        <w:t>and suggest, in agreement with the NMR data, a higher degree of oxidized, H-deficient materials at these sites compared to the FCE. This is particula</w:t>
      </w:r>
      <w:r w:rsidR="00156244" w:rsidRPr="00E4462A">
        <w:rPr>
          <w:lang w:val="en-GB"/>
        </w:rPr>
        <w:t>rly true for the PAN which show</w:t>
      </w:r>
      <w:r w:rsidRPr="00E4462A">
        <w:rPr>
          <w:lang w:val="en-GB"/>
        </w:rPr>
        <w:t xml:space="preserve"> unique molecular formulas for oxidized, H-</w:t>
      </w:r>
      <w:r w:rsidR="00CF793E" w:rsidRPr="00E4462A">
        <w:rPr>
          <w:lang w:val="en-GB"/>
        </w:rPr>
        <w:t>deficient</w:t>
      </w:r>
      <w:r w:rsidRPr="00E4462A">
        <w:rPr>
          <w:lang w:val="en-GB"/>
        </w:rPr>
        <w:t xml:space="preserve"> CHO and CHNO components</w:t>
      </w:r>
      <w:r w:rsidR="00156244" w:rsidRPr="00E4462A">
        <w:rPr>
          <w:lang w:val="en-GB"/>
        </w:rPr>
        <w:t xml:space="preserve"> (Fig. </w:t>
      </w:r>
      <w:r w:rsidR="0069428C" w:rsidRPr="00E4462A">
        <w:rPr>
          <w:lang w:val="en-GB"/>
        </w:rPr>
        <w:t>8D</w:t>
      </w:r>
      <w:r w:rsidR="00156244" w:rsidRPr="00E4462A">
        <w:rPr>
          <w:lang w:val="en-GB"/>
        </w:rPr>
        <w:t>)</w:t>
      </w:r>
      <w:r w:rsidR="002B3CE9" w:rsidRPr="00E4462A">
        <w:rPr>
          <w:lang w:val="en-GB"/>
        </w:rPr>
        <w:t>,</w:t>
      </w:r>
      <w:r w:rsidRPr="00E4462A">
        <w:rPr>
          <w:lang w:val="en-GB"/>
        </w:rPr>
        <w:t>wh</w:t>
      </w:r>
      <w:r w:rsidR="00156244" w:rsidRPr="00E4462A">
        <w:rPr>
          <w:lang w:val="en-GB"/>
        </w:rPr>
        <w:t>ereas</w:t>
      </w:r>
      <w:r w:rsidRPr="00E4462A">
        <w:rPr>
          <w:lang w:val="en-GB"/>
        </w:rPr>
        <w:t xml:space="preserve"> molecular formulas unique for the OKA</w:t>
      </w:r>
      <w:r w:rsidR="00156244" w:rsidRPr="00E4462A">
        <w:rPr>
          <w:lang w:val="en-GB"/>
        </w:rPr>
        <w:t xml:space="preserve"> are relatively few (Fig. </w:t>
      </w:r>
      <w:r w:rsidR="0069428C" w:rsidRPr="00E4462A">
        <w:rPr>
          <w:lang w:val="en-GB"/>
        </w:rPr>
        <w:t>8E</w:t>
      </w:r>
      <w:r w:rsidR="00156244" w:rsidRPr="00E4462A">
        <w:rPr>
          <w:lang w:val="en-GB"/>
        </w:rPr>
        <w:t>)</w:t>
      </w:r>
      <w:r w:rsidRPr="00E4462A">
        <w:rPr>
          <w:lang w:val="en-GB"/>
        </w:rPr>
        <w:t>.</w:t>
      </w:r>
    </w:p>
    <w:p w14:paraId="4DC0B922" w14:textId="3FEBF098" w:rsidR="00050A13" w:rsidRPr="00E4462A" w:rsidRDefault="00795B95" w:rsidP="008B22B1">
      <w:pPr>
        <w:spacing w:line="360" w:lineRule="auto"/>
        <w:ind w:firstLine="708"/>
        <w:jc w:val="both"/>
        <w:rPr>
          <w:lang w:val="en-GB"/>
        </w:rPr>
      </w:pPr>
      <w:r w:rsidRPr="00E4462A">
        <w:rPr>
          <w:rFonts w:cs="Arial"/>
          <w:lang w:val="en-GB"/>
        </w:rPr>
        <w:t xml:space="preserve">Comparative analyses </w:t>
      </w:r>
      <w:r w:rsidR="00050A13" w:rsidRPr="00E4462A">
        <w:rPr>
          <w:rFonts w:cs="Arial"/>
          <w:lang w:val="en-GB"/>
        </w:rPr>
        <w:t xml:space="preserve">of van Krevelen diagrams </w:t>
      </w:r>
      <w:r w:rsidRPr="00E4462A">
        <w:rPr>
          <w:rFonts w:cs="Arial"/>
          <w:lang w:val="en-GB"/>
        </w:rPr>
        <w:t>between the six sites as shown in Fig</w:t>
      </w:r>
      <w:r w:rsidR="00197FB5" w:rsidRPr="00E4462A">
        <w:rPr>
          <w:rFonts w:cs="Arial"/>
          <w:lang w:val="en-GB"/>
        </w:rPr>
        <w:t>.</w:t>
      </w:r>
      <w:r w:rsidRPr="00E4462A">
        <w:rPr>
          <w:rFonts w:cs="Arial"/>
          <w:lang w:val="en-GB"/>
        </w:rPr>
        <w:t xml:space="preserve"> </w:t>
      </w:r>
      <w:r w:rsidR="00197FB5" w:rsidRPr="00E4462A">
        <w:rPr>
          <w:rFonts w:cs="Arial"/>
          <w:lang w:val="en-GB"/>
        </w:rPr>
        <w:t xml:space="preserve">8A </w:t>
      </w:r>
      <w:r w:rsidRPr="00E4462A">
        <w:rPr>
          <w:rFonts w:cs="Arial"/>
          <w:lang w:val="en-GB"/>
        </w:rPr>
        <w:t xml:space="preserve">clearly cluster the FCE samples separately from the OKA and PAN. </w:t>
      </w:r>
      <w:r w:rsidR="00050A13" w:rsidRPr="00E4462A">
        <w:rPr>
          <w:lang w:val="en-GB"/>
        </w:rPr>
        <w:t xml:space="preserve">Cluster analysis showed a clear distinction between the FCE on one hand and the OKA and PAN samples on the other hand, with less pronounced but significant differences between the paired, long and short hydroperiod samples at each site (Fig. </w:t>
      </w:r>
      <w:r w:rsidR="00197FB5" w:rsidRPr="00E4462A">
        <w:rPr>
          <w:lang w:val="en-GB"/>
        </w:rPr>
        <w:t>8A</w:t>
      </w:r>
      <w:r w:rsidR="00050A13" w:rsidRPr="00E4462A">
        <w:rPr>
          <w:lang w:val="en-GB"/>
        </w:rPr>
        <w:t>)</w:t>
      </w:r>
      <w:r w:rsidR="007A4ABD" w:rsidRPr="00E4462A">
        <w:rPr>
          <w:lang w:val="en-GB"/>
        </w:rPr>
        <w:t xml:space="preserve">. Among pairs of </w:t>
      </w:r>
      <w:r w:rsidR="00050A13" w:rsidRPr="00E4462A">
        <w:rPr>
          <w:lang w:val="en-GB"/>
        </w:rPr>
        <w:t>DOM</w:t>
      </w:r>
      <w:r w:rsidR="007A4ABD" w:rsidRPr="00E4462A">
        <w:rPr>
          <w:lang w:val="en-GB"/>
        </w:rPr>
        <w:t xml:space="preserve"> samples</w:t>
      </w:r>
      <w:r w:rsidR="00050A13" w:rsidRPr="00E4462A">
        <w:rPr>
          <w:lang w:val="en-GB"/>
        </w:rPr>
        <w:t>, similarity according to FT</w:t>
      </w:r>
      <w:r w:rsidR="00834F8D" w:rsidRPr="00E4462A">
        <w:rPr>
          <w:lang w:val="en-GB"/>
        </w:rPr>
        <w:t>ICR</w:t>
      </w:r>
      <w:r w:rsidR="00272562" w:rsidRPr="00E4462A">
        <w:rPr>
          <w:lang w:val="en-GB"/>
        </w:rPr>
        <w:t>/</w:t>
      </w:r>
      <w:r w:rsidR="00050A13" w:rsidRPr="00E4462A">
        <w:rPr>
          <w:lang w:val="en-GB"/>
        </w:rPr>
        <w:t xml:space="preserve">MS-based cluster analysis was in the order PAN &gt; OKA &gt; FCE (Fig. </w:t>
      </w:r>
      <w:r w:rsidR="00197FB5" w:rsidRPr="00E4462A">
        <w:rPr>
          <w:lang w:val="en-GB"/>
        </w:rPr>
        <w:t>8A</w:t>
      </w:r>
      <w:r w:rsidR="00050A13" w:rsidRPr="00E4462A">
        <w:rPr>
          <w:lang w:val="en-GB"/>
        </w:rPr>
        <w:t xml:space="preserve">), </w:t>
      </w:r>
      <w:r w:rsidR="00214099" w:rsidRPr="00E4462A">
        <w:rPr>
          <w:lang w:val="en-GB"/>
        </w:rPr>
        <w:t xml:space="preserve">whereas </w:t>
      </w:r>
      <w:r w:rsidR="00050A13" w:rsidRPr="00E4462A">
        <w:rPr>
          <w:lang w:val="en-GB"/>
        </w:rPr>
        <w:t xml:space="preserve">one-dimensional </w:t>
      </w:r>
      <w:r w:rsidR="00050A13" w:rsidRPr="00E4462A">
        <w:rPr>
          <w:vertAlign w:val="superscript"/>
          <w:lang w:val="en-GB"/>
        </w:rPr>
        <w:t>1</w:t>
      </w:r>
      <w:r w:rsidR="00050A13" w:rsidRPr="00E4462A">
        <w:rPr>
          <w:lang w:val="en-GB"/>
        </w:rPr>
        <w:t xml:space="preserve">H NMR spectra </w:t>
      </w:r>
      <w:r w:rsidR="00214099" w:rsidRPr="00E4462A">
        <w:rPr>
          <w:lang w:val="en-GB"/>
        </w:rPr>
        <w:t xml:space="preserve">clustered according to increasing dissimilarity in the order OKA &lt; PAN &lt; FCE </w:t>
      </w:r>
      <w:r w:rsidR="00050A13" w:rsidRPr="00E4462A">
        <w:rPr>
          <w:lang w:val="en-GB"/>
        </w:rPr>
        <w:t xml:space="preserve">(Fig. </w:t>
      </w:r>
      <w:r w:rsidR="00714EB4" w:rsidRPr="00E4462A">
        <w:rPr>
          <w:lang w:val="en-GB"/>
        </w:rPr>
        <w:t>S</w:t>
      </w:r>
      <w:r w:rsidR="00214099" w:rsidRPr="00E4462A">
        <w:rPr>
          <w:lang w:val="en-GB"/>
        </w:rPr>
        <w:t>2</w:t>
      </w:r>
      <w:r w:rsidR="00050A13" w:rsidRPr="00E4462A">
        <w:rPr>
          <w:lang w:val="en-GB"/>
        </w:rPr>
        <w:t xml:space="preserve">). </w:t>
      </w:r>
      <w:r w:rsidR="00214099" w:rsidRPr="00E4462A">
        <w:rPr>
          <w:lang w:val="en-GB"/>
        </w:rPr>
        <w:t xml:space="preserve">This discrepancy is readily explained by the different recognition of aliphatic groups in FTMS (insensible) and NMR spectra (quantitative depiction). </w:t>
      </w:r>
      <w:r w:rsidR="00050A13" w:rsidRPr="00E4462A">
        <w:rPr>
          <w:lang w:val="en-GB"/>
        </w:rPr>
        <w:t xml:space="preserve">CHO and </w:t>
      </w:r>
      <w:r w:rsidR="00050A13" w:rsidRPr="00E4462A">
        <w:rPr>
          <w:lang w:val="en-GB"/>
        </w:rPr>
        <w:lastRenderedPageBreak/>
        <w:t>CHNO molecules ionized by negative ESI occupied rather similar expansive regions with near average H/C and O/C elemental ratio</w:t>
      </w:r>
      <w:r w:rsidR="00834F8D" w:rsidRPr="00E4462A">
        <w:rPr>
          <w:lang w:val="en-GB"/>
        </w:rPr>
        <w:t>s</w:t>
      </w:r>
      <w:r w:rsidR="00050A13" w:rsidRPr="00E4462A">
        <w:rPr>
          <w:lang w:val="en-GB"/>
        </w:rPr>
        <w:t xml:space="preserve"> (Fig. </w:t>
      </w:r>
      <w:r w:rsidR="00197FB5" w:rsidRPr="00E4462A">
        <w:rPr>
          <w:lang w:val="en-GB"/>
        </w:rPr>
        <w:t>8B</w:t>
      </w:r>
      <w:r w:rsidR="00834F8D" w:rsidRPr="00E4462A">
        <w:rPr>
          <w:lang w:val="en-GB"/>
        </w:rPr>
        <w:t>). This is a common feature of D</w:t>
      </w:r>
      <w:r w:rsidR="00050A13" w:rsidRPr="00E4462A">
        <w:rPr>
          <w:lang w:val="en-GB"/>
        </w:rPr>
        <w:t>OM molecular distribution as derived from FTICR mass spectra. Here, the largest number of feasible and chemically reasonable isomeric molecules will project on single mass peaks</w:t>
      </w:r>
      <w:r w:rsidR="00AD5848" w:rsidRPr="00E4462A">
        <w:rPr>
          <w:lang w:val="en-GB"/>
        </w:rPr>
        <w:t xml:space="preserve"> at average H/C and O/C elemental ratios</w:t>
      </w:r>
      <w:r w:rsidR="00050A13" w:rsidRPr="00E4462A">
        <w:rPr>
          <w:lang w:val="en-GB"/>
        </w:rPr>
        <w:t>, contributing to larger overall mass peak amplitude – this</w:t>
      </w:r>
      <w:r w:rsidR="00834F8D" w:rsidRPr="00E4462A">
        <w:rPr>
          <w:lang w:val="en-GB"/>
        </w:rPr>
        <w:t xml:space="preserve"> applying</w:t>
      </w:r>
      <w:r w:rsidR="00050A13" w:rsidRPr="00E4462A">
        <w:rPr>
          <w:lang w:val="en-GB"/>
        </w:rPr>
        <w:t xml:space="preserve"> even more </w:t>
      </w:r>
      <w:r w:rsidR="00834F8D" w:rsidRPr="00E4462A">
        <w:rPr>
          <w:lang w:val="en-GB"/>
        </w:rPr>
        <w:t>specifically</w:t>
      </w:r>
      <w:r w:rsidR="00050A13" w:rsidRPr="00E4462A">
        <w:rPr>
          <w:lang w:val="en-GB"/>
        </w:rPr>
        <w:t xml:space="preserve"> to van Krevelen diagrams</w:t>
      </w:r>
      <w:r w:rsidR="00834F8D" w:rsidRPr="00E4462A">
        <w:rPr>
          <w:lang w:val="en-GB"/>
        </w:rPr>
        <w:t>,</w:t>
      </w:r>
      <w:r w:rsidR="00050A13" w:rsidRPr="00E4462A">
        <w:rPr>
          <w:lang w:val="en-GB"/>
        </w:rPr>
        <w:t xml:space="preserve"> in which different molecular compositions with identical elemental ratios contribute to the same data points </w:t>
      </w:r>
      <w:r w:rsidR="00050A13" w:rsidRPr="00E4462A">
        <w:rPr>
          <w:lang w:val="en-US"/>
        </w:rPr>
        <w:t xml:space="preserve">(Hertkorn et al., 2007; Lechtenfeld et al., 2014). </w:t>
      </w:r>
      <w:r w:rsidR="00050A13" w:rsidRPr="00E4462A">
        <w:rPr>
          <w:lang w:val="en-GB"/>
        </w:rPr>
        <w:t>Analogously, the distribution of CHO, CHOS, CHNO and CHNOS molecular series roughly coincided, with some displacement of CHOS molecules in both FCE samples</w:t>
      </w:r>
      <w:r w:rsidR="00607FD1" w:rsidRPr="00E4462A">
        <w:rPr>
          <w:lang w:val="en-GB"/>
        </w:rPr>
        <w:t>,</w:t>
      </w:r>
      <w:r w:rsidR="00050A13" w:rsidRPr="00E4462A">
        <w:rPr>
          <w:lang w:val="en-GB"/>
        </w:rPr>
        <w:t xml:space="preserve"> towards higher H/C</w:t>
      </w:r>
      <w:r w:rsidR="00834F8D" w:rsidRPr="00E4462A">
        <w:rPr>
          <w:lang w:val="en-GB"/>
        </w:rPr>
        <w:t xml:space="preserve"> ratio (i.e. higher aliphatic character</w:t>
      </w:r>
      <w:r w:rsidR="00050A13" w:rsidRPr="00E4462A">
        <w:rPr>
          <w:lang w:val="en-GB"/>
        </w:rPr>
        <w:t xml:space="preserve">). </w:t>
      </w:r>
    </w:p>
    <w:p w14:paraId="758B204B" w14:textId="2D652C07" w:rsidR="00795B95" w:rsidRPr="00E4462A" w:rsidRDefault="00AE064A" w:rsidP="008B22B1">
      <w:pPr>
        <w:spacing w:line="360" w:lineRule="auto"/>
        <w:ind w:firstLine="708"/>
        <w:jc w:val="both"/>
        <w:rPr>
          <w:rFonts w:cs="Arial"/>
          <w:lang w:val="en-GB"/>
        </w:rPr>
      </w:pPr>
      <w:r w:rsidRPr="00E4462A">
        <w:rPr>
          <w:lang w:val="en-GB"/>
        </w:rPr>
        <w:t xml:space="preserve">At first glance, the </w:t>
      </w:r>
      <w:r w:rsidR="00156244" w:rsidRPr="00E4462A">
        <w:rPr>
          <w:lang w:val="en-GB"/>
        </w:rPr>
        <w:t>H/C vs. O/C</w:t>
      </w:r>
      <w:r w:rsidRPr="00E4462A">
        <w:rPr>
          <w:lang w:val="en-GB"/>
        </w:rPr>
        <w:t xml:space="preserve"> (Fig. </w:t>
      </w:r>
      <w:r w:rsidR="00197FB5" w:rsidRPr="00E4462A">
        <w:rPr>
          <w:lang w:val="en-GB"/>
        </w:rPr>
        <w:t>7</w:t>
      </w:r>
      <w:r w:rsidRPr="00E4462A">
        <w:rPr>
          <w:lang w:val="en-GB"/>
        </w:rPr>
        <w:t xml:space="preserve">) as well as </w:t>
      </w:r>
      <w:r w:rsidR="00156244" w:rsidRPr="00E4462A">
        <w:rPr>
          <w:lang w:val="en-GB"/>
        </w:rPr>
        <w:t>the</w:t>
      </w:r>
      <w:r w:rsidRPr="00E4462A">
        <w:rPr>
          <w:lang w:val="en-GB"/>
        </w:rPr>
        <w:t xml:space="preserve"> H/C </w:t>
      </w:r>
      <w:r w:rsidR="00156244" w:rsidRPr="00E4462A">
        <w:rPr>
          <w:lang w:val="en-GB"/>
        </w:rPr>
        <w:t>vs.</w:t>
      </w:r>
      <w:r w:rsidRPr="00E4462A">
        <w:rPr>
          <w:lang w:val="en-GB"/>
        </w:rPr>
        <w:t xml:space="preserve"> m/z (Fig. </w:t>
      </w:r>
      <w:r w:rsidR="00156244" w:rsidRPr="00E4462A">
        <w:rPr>
          <w:lang w:val="en-GB"/>
        </w:rPr>
        <w:t>S7</w:t>
      </w:r>
      <w:r w:rsidRPr="00E4462A">
        <w:rPr>
          <w:lang w:val="en-GB"/>
        </w:rPr>
        <w:t xml:space="preserve">) </w:t>
      </w:r>
      <w:r w:rsidR="00156244" w:rsidRPr="00E4462A">
        <w:rPr>
          <w:lang w:val="en-GB"/>
        </w:rPr>
        <w:t xml:space="preserve">plots, </w:t>
      </w:r>
      <w:r w:rsidRPr="00E4462A">
        <w:rPr>
          <w:lang w:val="en-GB"/>
        </w:rPr>
        <w:t xml:space="preserve">showed near uniform fingerprints for OKA and PAN, covering larger areas </w:t>
      </w:r>
      <w:r w:rsidR="00156244" w:rsidRPr="00E4462A">
        <w:rPr>
          <w:lang w:val="en-GB"/>
        </w:rPr>
        <w:t xml:space="preserve">in the van Krevelen diagrams </w:t>
      </w:r>
      <w:r w:rsidRPr="00E4462A">
        <w:rPr>
          <w:lang w:val="en-GB"/>
        </w:rPr>
        <w:t xml:space="preserve">in case of CHO compared with CHNO compounds (Fig. </w:t>
      </w:r>
      <w:r w:rsidR="00197FB5" w:rsidRPr="00E4462A">
        <w:rPr>
          <w:lang w:val="en-GB"/>
        </w:rPr>
        <w:t>8B</w:t>
      </w:r>
      <w:r w:rsidRPr="00E4462A">
        <w:rPr>
          <w:lang w:val="en-GB"/>
        </w:rPr>
        <w:t xml:space="preserve">), suggesting an increased overall chemical diversity of CHO compounds. </w:t>
      </w:r>
      <w:r w:rsidR="00795B95" w:rsidRPr="00E4462A">
        <w:rPr>
          <w:rFonts w:cs="Arial"/>
          <w:lang w:val="en-GB"/>
        </w:rPr>
        <w:t>In addition, the paired wetland samples clustered separately for the high and low hydroperiods respectively</w:t>
      </w:r>
      <w:r w:rsidR="00272562" w:rsidRPr="00E4462A">
        <w:rPr>
          <w:rFonts w:cs="Arial"/>
          <w:lang w:val="en-GB"/>
        </w:rPr>
        <w:t>,</w:t>
      </w:r>
      <w:r w:rsidR="00795B95" w:rsidRPr="00E4462A">
        <w:rPr>
          <w:rFonts w:cs="Arial"/>
          <w:lang w:val="en-GB"/>
        </w:rPr>
        <w:t xml:space="preserve"> suggesting that molecular compositions</w:t>
      </w:r>
      <w:r w:rsidR="00AD5848" w:rsidRPr="00E4462A">
        <w:rPr>
          <w:rFonts w:cs="Arial"/>
          <w:lang w:val="en-GB"/>
        </w:rPr>
        <w:t xml:space="preserve"> differ among</w:t>
      </w:r>
      <w:r w:rsidR="00795B95" w:rsidRPr="00E4462A">
        <w:rPr>
          <w:rFonts w:cs="Arial"/>
          <w:lang w:val="en-GB"/>
        </w:rPr>
        <w:t xml:space="preserve"> sites with different hydrology. The weighted average O/C and H/C values were remarkably</w:t>
      </w:r>
      <w:r w:rsidR="0096694F" w:rsidRPr="00E4462A">
        <w:rPr>
          <w:rFonts w:cs="Arial"/>
          <w:lang w:val="en-GB"/>
        </w:rPr>
        <w:t xml:space="preserve"> similar for PAN and OKA</w:t>
      </w:r>
      <w:r w:rsidR="005B7640" w:rsidRPr="00E4462A">
        <w:rPr>
          <w:rFonts w:cs="Arial"/>
          <w:lang w:val="en-GB"/>
        </w:rPr>
        <w:t xml:space="preserve"> </w:t>
      </w:r>
      <w:r w:rsidR="00AD5848" w:rsidRPr="00E4462A">
        <w:rPr>
          <w:rFonts w:cs="Arial"/>
          <w:lang w:val="en-GB"/>
        </w:rPr>
        <w:t>showing</w:t>
      </w:r>
      <w:r w:rsidR="00204921" w:rsidRPr="00E4462A">
        <w:rPr>
          <w:rFonts w:cs="Arial"/>
          <w:lang w:val="en-GB"/>
        </w:rPr>
        <w:t xml:space="preserve"> </w:t>
      </w:r>
      <w:r w:rsidR="00AD5848" w:rsidRPr="00E4462A">
        <w:rPr>
          <w:rFonts w:cs="Arial"/>
          <w:lang w:val="en-GB"/>
        </w:rPr>
        <w:t xml:space="preserve">rather marginal variance </w:t>
      </w:r>
      <w:r w:rsidR="00795B95" w:rsidRPr="00E4462A">
        <w:rPr>
          <w:rFonts w:cs="Arial"/>
          <w:lang w:val="en-GB"/>
        </w:rPr>
        <w:t xml:space="preserve">between different sites or between high and low hydroperiod (Fig. </w:t>
      </w:r>
      <w:r w:rsidR="00197FB5" w:rsidRPr="00E4462A">
        <w:rPr>
          <w:rFonts w:cs="Arial"/>
          <w:lang w:val="en-GB"/>
        </w:rPr>
        <w:t>7A</w:t>
      </w:r>
      <w:r w:rsidR="00714EB4" w:rsidRPr="00E4462A">
        <w:rPr>
          <w:rFonts w:cs="Arial"/>
          <w:lang w:val="en-GB"/>
        </w:rPr>
        <w:t>-</w:t>
      </w:r>
      <w:r w:rsidR="00197FB5" w:rsidRPr="00E4462A">
        <w:rPr>
          <w:rFonts w:cs="Arial"/>
          <w:lang w:val="en-GB"/>
        </w:rPr>
        <w:t>7D</w:t>
      </w:r>
      <w:r w:rsidR="00795B95" w:rsidRPr="00E4462A">
        <w:rPr>
          <w:rFonts w:cs="Arial"/>
          <w:lang w:val="en-GB"/>
        </w:rPr>
        <w:t xml:space="preserve">; Table </w:t>
      </w:r>
      <w:r w:rsidR="00156244" w:rsidRPr="00E4462A">
        <w:rPr>
          <w:rFonts w:cs="Arial"/>
          <w:lang w:val="en-GB"/>
        </w:rPr>
        <w:t>3</w:t>
      </w:r>
      <w:r w:rsidR="00795B95" w:rsidRPr="00E4462A">
        <w:rPr>
          <w:rFonts w:cs="Arial"/>
          <w:lang w:val="en-GB"/>
        </w:rPr>
        <w:t>). In comparison</w:t>
      </w:r>
      <w:r w:rsidR="0096694F" w:rsidRPr="00E4462A">
        <w:rPr>
          <w:rFonts w:cs="Arial"/>
          <w:lang w:val="en-GB"/>
        </w:rPr>
        <w:t xml:space="preserve">, </w:t>
      </w:r>
      <w:r w:rsidR="00795B95" w:rsidRPr="00E4462A">
        <w:rPr>
          <w:rFonts w:cs="Arial"/>
          <w:lang w:val="en-GB"/>
        </w:rPr>
        <w:t xml:space="preserve">FCE-S showed a considerably </w:t>
      </w:r>
      <w:r w:rsidR="00214099" w:rsidRPr="00E4462A">
        <w:rPr>
          <w:rFonts w:cs="Arial"/>
          <w:lang w:val="en-GB"/>
        </w:rPr>
        <w:t>decreased</w:t>
      </w:r>
      <w:r w:rsidR="00795B95" w:rsidRPr="00E4462A">
        <w:rPr>
          <w:rFonts w:cs="Arial"/>
          <w:lang w:val="en-GB"/>
        </w:rPr>
        <w:t xml:space="preserve"> O/C ratio. While com</w:t>
      </w:r>
      <w:r w:rsidR="0096694F" w:rsidRPr="00E4462A">
        <w:rPr>
          <w:rFonts w:cs="Arial"/>
          <w:lang w:val="en-GB"/>
        </w:rPr>
        <w:t xml:space="preserve">puted O/C ratios of wetland </w:t>
      </w:r>
      <w:r w:rsidR="00795B95" w:rsidRPr="00E4462A">
        <w:rPr>
          <w:rFonts w:cs="Arial"/>
          <w:lang w:val="en-GB"/>
        </w:rPr>
        <w:t>DOM exce</w:t>
      </w:r>
      <w:r w:rsidR="0096694F" w:rsidRPr="00E4462A">
        <w:rPr>
          <w:rFonts w:cs="Arial"/>
          <w:lang w:val="en-GB"/>
        </w:rPr>
        <w:t xml:space="preserve">eded those found in oceanic </w:t>
      </w:r>
      <w:r w:rsidR="00795B95" w:rsidRPr="00E4462A">
        <w:rPr>
          <w:rFonts w:cs="Arial"/>
          <w:lang w:val="en-GB"/>
        </w:rPr>
        <w:t>DOM by about 0.2 units (Table 3; Table 4 in Hertkorn et al., 2013</w:t>
      </w:r>
      <w:r w:rsidR="0096694F" w:rsidRPr="00E4462A">
        <w:rPr>
          <w:rFonts w:cs="Arial"/>
          <w:lang w:val="en-GB"/>
        </w:rPr>
        <w:t xml:space="preserve">), the H/C ratio of wetland </w:t>
      </w:r>
      <w:r w:rsidR="00795B95" w:rsidRPr="00E4462A">
        <w:rPr>
          <w:rFonts w:cs="Arial"/>
          <w:lang w:val="en-GB"/>
        </w:rPr>
        <w:t>DOM was approx</w:t>
      </w:r>
      <w:r w:rsidR="00607FD1" w:rsidRPr="00E4462A">
        <w:rPr>
          <w:rFonts w:cs="Arial"/>
          <w:lang w:val="en-GB"/>
        </w:rPr>
        <w:t>imately</w:t>
      </w:r>
      <w:r w:rsidR="00795B95" w:rsidRPr="00E4462A">
        <w:rPr>
          <w:rFonts w:cs="Arial"/>
          <w:lang w:val="en-GB"/>
        </w:rPr>
        <w:t xml:space="preserve"> 0.15 units higher in comparison. Even if ionization selectivity in negative ESI FTICR mass spectra </w:t>
      </w:r>
      <w:r w:rsidR="00607FD1" w:rsidRPr="00E4462A">
        <w:rPr>
          <w:rFonts w:cs="Arial"/>
          <w:lang w:val="en-GB"/>
        </w:rPr>
        <w:t>applied</w:t>
      </w:r>
      <w:r w:rsidR="00795B95" w:rsidRPr="00E4462A">
        <w:rPr>
          <w:rFonts w:cs="Arial"/>
          <w:lang w:val="en-GB"/>
        </w:rPr>
        <w:t xml:space="preserve">, the </w:t>
      </w:r>
      <w:r w:rsidR="00795B95" w:rsidRPr="00E4462A">
        <w:rPr>
          <w:rFonts w:cs="Arial"/>
          <w:vertAlign w:val="superscript"/>
          <w:lang w:val="en-GB"/>
        </w:rPr>
        <w:t>1</w:t>
      </w:r>
      <w:r w:rsidR="00795B95" w:rsidRPr="00E4462A">
        <w:rPr>
          <w:rFonts w:cs="Arial"/>
          <w:lang w:val="en-GB"/>
        </w:rPr>
        <w:t>H NMR section integrals indicate</w:t>
      </w:r>
      <w:r w:rsidR="00050A13" w:rsidRPr="00E4462A">
        <w:rPr>
          <w:rFonts w:cs="Arial"/>
          <w:lang w:val="en-GB"/>
        </w:rPr>
        <w:t xml:space="preserve"> analogous</w:t>
      </w:r>
      <w:r w:rsidR="00795B95" w:rsidRPr="00E4462A">
        <w:rPr>
          <w:rFonts w:cs="Arial"/>
          <w:lang w:val="en-GB"/>
        </w:rPr>
        <w:t xml:space="preserve"> trends of relative saturation, or alternatively, hydrogen deficiency</w:t>
      </w:r>
      <w:r w:rsidR="0096694F" w:rsidRPr="00E4462A">
        <w:rPr>
          <w:rFonts w:cs="Arial"/>
          <w:lang w:val="en-GB"/>
        </w:rPr>
        <w:t xml:space="preserve"> between wetland and marine </w:t>
      </w:r>
      <w:r w:rsidR="00050A13" w:rsidRPr="00E4462A">
        <w:rPr>
          <w:rFonts w:cs="Arial"/>
          <w:lang w:val="en-GB"/>
        </w:rPr>
        <w:t>DOM</w:t>
      </w:r>
      <w:r w:rsidR="00795B95" w:rsidRPr="00E4462A">
        <w:rPr>
          <w:rFonts w:cs="Arial"/>
          <w:lang w:val="en-GB"/>
        </w:rPr>
        <w:t>. In comparison with average wetland SPE-DOM, average open ocean SPE-DOM showed lesser abundance of aromatics (by 2-3%), lower proportions of OC</w:t>
      </w:r>
      <w:r w:rsidR="00795B95" w:rsidRPr="00E4462A">
        <w:rPr>
          <w:rFonts w:cs="Arial"/>
          <w:b/>
          <w:u w:val="single"/>
          <w:lang w:val="en-GB"/>
        </w:rPr>
        <w:t>H</w:t>
      </w:r>
      <w:r w:rsidR="00795B95" w:rsidRPr="00E4462A">
        <w:rPr>
          <w:rFonts w:cs="Arial"/>
          <w:lang w:val="en-GB"/>
        </w:rPr>
        <w:t xml:space="preserve"> chemical environments (by 8%), and, especially, higher abundance of pure aliphatics (i.e. CCC</w:t>
      </w:r>
      <w:r w:rsidR="00795B95" w:rsidRPr="00E4462A">
        <w:rPr>
          <w:rFonts w:cs="Arial"/>
          <w:b/>
          <w:u w:val="single"/>
          <w:lang w:val="en-GB"/>
        </w:rPr>
        <w:t>H</w:t>
      </w:r>
      <w:r w:rsidR="00795B95" w:rsidRPr="00E4462A">
        <w:rPr>
          <w:rFonts w:cs="Arial"/>
          <w:lang w:val="en-GB"/>
        </w:rPr>
        <w:t xml:space="preserve"> units; by 12%). This </w:t>
      </w:r>
      <w:r w:rsidR="00050A13" w:rsidRPr="00E4462A">
        <w:rPr>
          <w:rFonts w:cs="Arial"/>
          <w:lang w:val="en-GB"/>
        </w:rPr>
        <w:t>implies</w:t>
      </w:r>
      <w:r w:rsidR="008103E3" w:rsidRPr="00E4462A">
        <w:rPr>
          <w:rFonts w:cs="Arial"/>
          <w:lang w:val="en-GB"/>
        </w:rPr>
        <w:t xml:space="preserve"> that</w:t>
      </w:r>
      <w:r w:rsidR="0096694F" w:rsidRPr="00E4462A">
        <w:rPr>
          <w:rFonts w:cs="Arial"/>
          <w:lang w:val="en-GB"/>
        </w:rPr>
        <w:t xml:space="preserve"> marine </w:t>
      </w:r>
      <w:r w:rsidR="00795B95" w:rsidRPr="00E4462A">
        <w:rPr>
          <w:rFonts w:cs="Arial"/>
          <w:lang w:val="en-GB"/>
        </w:rPr>
        <w:t xml:space="preserve">DOM </w:t>
      </w:r>
      <w:r w:rsidR="00050A13" w:rsidRPr="00E4462A">
        <w:rPr>
          <w:rFonts w:cs="Arial"/>
          <w:lang w:val="en-GB"/>
        </w:rPr>
        <w:t>shows</w:t>
      </w:r>
      <w:r w:rsidR="00795B95" w:rsidRPr="00E4462A">
        <w:rPr>
          <w:rFonts w:cs="Arial"/>
          <w:lang w:val="en-GB"/>
        </w:rPr>
        <w:t xml:space="preserve"> lower abundance of hydrogen-deficient (unsaturated) and higher abundance of hydrogen-rich (</w:t>
      </w:r>
      <w:r w:rsidR="00214099" w:rsidRPr="00E4462A">
        <w:rPr>
          <w:rFonts w:cs="Arial"/>
          <w:lang w:val="en-GB"/>
        </w:rPr>
        <w:t>purely aliphatic</w:t>
      </w:r>
      <w:r w:rsidR="0096694F" w:rsidRPr="00E4462A">
        <w:rPr>
          <w:rFonts w:cs="Arial"/>
          <w:lang w:val="en-GB"/>
        </w:rPr>
        <w:t xml:space="preserve">) molecules than wetland </w:t>
      </w:r>
      <w:r w:rsidR="00795B95" w:rsidRPr="00E4462A">
        <w:rPr>
          <w:rFonts w:cs="Arial"/>
          <w:lang w:val="en-GB"/>
        </w:rPr>
        <w:t xml:space="preserve">DOM, in line with the elevated H/C ratio as derived from FTICR mass spectra. Similarly, the </w:t>
      </w:r>
      <w:r w:rsidR="00272562" w:rsidRPr="00E4462A">
        <w:rPr>
          <w:rFonts w:cs="Arial"/>
          <w:lang w:val="en-GB"/>
        </w:rPr>
        <w:t>higher</w:t>
      </w:r>
      <w:r w:rsidR="00795B95" w:rsidRPr="00E4462A">
        <w:rPr>
          <w:rFonts w:cs="Arial"/>
          <w:lang w:val="en-GB"/>
        </w:rPr>
        <w:t xml:space="preserve"> abundance of oxygen-rich OC</w:t>
      </w:r>
      <w:r w:rsidR="00795B95" w:rsidRPr="00E4462A">
        <w:rPr>
          <w:rFonts w:cs="Arial"/>
          <w:b/>
          <w:u w:val="single"/>
          <w:lang w:val="en-GB"/>
        </w:rPr>
        <w:t>H</w:t>
      </w:r>
      <w:r w:rsidR="00795B95" w:rsidRPr="00E4462A">
        <w:rPr>
          <w:rFonts w:cs="Arial"/>
          <w:lang w:val="en-GB"/>
        </w:rPr>
        <w:t xml:space="preserve"> chemi</w:t>
      </w:r>
      <w:r w:rsidR="0096694F" w:rsidRPr="00E4462A">
        <w:rPr>
          <w:rFonts w:cs="Arial"/>
          <w:lang w:val="en-GB"/>
        </w:rPr>
        <w:t xml:space="preserve">cal environments in wetland </w:t>
      </w:r>
      <w:r w:rsidR="00795B95" w:rsidRPr="00E4462A">
        <w:rPr>
          <w:rFonts w:cs="Arial"/>
          <w:lang w:val="en-GB"/>
        </w:rPr>
        <w:t xml:space="preserve">DOM </w:t>
      </w:r>
      <w:r w:rsidR="00795B95" w:rsidRPr="00E4462A">
        <w:rPr>
          <w:rFonts w:cs="Arial"/>
          <w:lang w:val="en-GB"/>
        </w:rPr>
        <w:lastRenderedPageBreak/>
        <w:t xml:space="preserve">as seen by </w:t>
      </w:r>
      <w:r w:rsidR="00795B95" w:rsidRPr="00E4462A">
        <w:rPr>
          <w:rFonts w:cs="Arial"/>
          <w:vertAlign w:val="superscript"/>
          <w:lang w:val="en-GB"/>
        </w:rPr>
        <w:t>1</w:t>
      </w:r>
      <w:r w:rsidR="00795B95" w:rsidRPr="00E4462A">
        <w:rPr>
          <w:rFonts w:cs="Arial"/>
          <w:lang w:val="en-GB"/>
        </w:rPr>
        <w:t>H NMR section integral (8% relative increase) was in accordance with the increase</w:t>
      </w:r>
      <w:r w:rsidR="00050A13" w:rsidRPr="00E4462A">
        <w:rPr>
          <w:rFonts w:cs="Arial"/>
          <w:lang w:val="en-GB"/>
        </w:rPr>
        <w:t>d</w:t>
      </w:r>
      <w:r w:rsidR="00795B95" w:rsidRPr="00E4462A">
        <w:rPr>
          <w:rFonts w:cs="Arial"/>
          <w:lang w:val="en-GB"/>
        </w:rPr>
        <w:t xml:space="preserve"> O/C ratio found in </w:t>
      </w:r>
      <w:r w:rsidR="00050A13" w:rsidRPr="00E4462A">
        <w:rPr>
          <w:rFonts w:cs="Arial"/>
          <w:lang w:val="en-GB"/>
        </w:rPr>
        <w:t xml:space="preserve">their </w:t>
      </w:r>
      <w:r w:rsidR="00795B95" w:rsidRPr="00E4462A">
        <w:rPr>
          <w:rFonts w:cs="Arial"/>
          <w:lang w:val="en-GB"/>
        </w:rPr>
        <w:t xml:space="preserve">FTICR mass spectra (increase by 0.2 units).  </w:t>
      </w:r>
    </w:p>
    <w:p w14:paraId="7562E05E" w14:textId="4E24A6B8" w:rsidR="004D757B" w:rsidRPr="00E4462A" w:rsidRDefault="00053F9C" w:rsidP="008B22B1">
      <w:pPr>
        <w:spacing w:line="360" w:lineRule="auto"/>
        <w:ind w:firstLine="708"/>
        <w:jc w:val="both"/>
        <w:rPr>
          <w:lang w:val="en-GB"/>
        </w:rPr>
      </w:pPr>
      <w:r w:rsidRPr="00E4462A">
        <w:rPr>
          <w:lang w:val="en-GB"/>
        </w:rPr>
        <w:t xml:space="preserve">Comparative analysis of van Krevelen diagrams (Fig. </w:t>
      </w:r>
      <w:r w:rsidR="00784CEE" w:rsidRPr="00E4462A">
        <w:rPr>
          <w:lang w:val="en-GB"/>
        </w:rPr>
        <w:t>S</w:t>
      </w:r>
      <w:r w:rsidR="00156244" w:rsidRPr="00E4462A">
        <w:rPr>
          <w:lang w:val="en-GB"/>
        </w:rPr>
        <w:t>8</w:t>
      </w:r>
      <w:r w:rsidRPr="00E4462A">
        <w:rPr>
          <w:lang w:val="en-GB"/>
        </w:rPr>
        <w:t xml:space="preserve">) obtained solely from the four PAN and OKA </w:t>
      </w:r>
      <w:r w:rsidR="00483524" w:rsidRPr="00E4462A">
        <w:rPr>
          <w:lang w:val="en-GB"/>
        </w:rPr>
        <w:t>samples confirmed the previously observed higher similarity between PAN-L and PAN-S compared to</w:t>
      </w:r>
      <w:r w:rsidRPr="00E4462A">
        <w:rPr>
          <w:lang w:val="en-GB"/>
        </w:rPr>
        <w:t xml:space="preserve"> OKA</w:t>
      </w:r>
      <w:r w:rsidR="00483524" w:rsidRPr="00E4462A">
        <w:rPr>
          <w:lang w:val="en-GB"/>
        </w:rPr>
        <w:t>-L and OKA-S</w:t>
      </w:r>
      <w:r w:rsidR="00156244" w:rsidRPr="00E4462A">
        <w:rPr>
          <w:lang w:val="en-GB"/>
        </w:rPr>
        <w:t xml:space="preserve"> sample pairs (Fig. </w:t>
      </w:r>
      <w:r w:rsidR="00197FB5" w:rsidRPr="00E4462A">
        <w:rPr>
          <w:lang w:val="en-GB"/>
        </w:rPr>
        <w:t>7</w:t>
      </w:r>
      <w:r w:rsidR="00AD5848" w:rsidRPr="00E4462A">
        <w:rPr>
          <w:lang w:val="en-GB"/>
        </w:rPr>
        <w:t xml:space="preserve">; Fig. </w:t>
      </w:r>
      <w:r w:rsidR="00197FB5" w:rsidRPr="00E4462A">
        <w:rPr>
          <w:lang w:val="en-GB"/>
        </w:rPr>
        <w:t>8D</w:t>
      </w:r>
      <w:r w:rsidR="00AE6981" w:rsidRPr="00E4462A">
        <w:rPr>
          <w:lang w:val="en-GB"/>
        </w:rPr>
        <w:t xml:space="preserve">, </w:t>
      </w:r>
      <w:r w:rsidR="00197FB5" w:rsidRPr="00E4462A">
        <w:rPr>
          <w:lang w:val="en-GB"/>
        </w:rPr>
        <w:t xml:space="preserve">8E </w:t>
      </w:r>
      <w:r w:rsidR="00AE6981" w:rsidRPr="00E4462A">
        <w:rPr>
          <w:lang w:val="en-GB"/>
        </w:rPr>
        <w:t>and</w:t>
      </w:r>
      <w:r w:rsidR="00156244" w:rsidRPr="00E4462A">
        <w:rPr>
          <w:lang w:val="en-GB"/>
        </w:rPr>
        <w:t xml:space="preserve"> </w:t>
      </w:r>
      <w:r w:rsidR="00197FB5" w:rsidRPr="00E4462A">
        <w:rPr>
          <w:lang w:val="en-GB"/>
        </w:rPr>
        <w:t>8F</w:t>
      </w:r>
      <w:r w:rsidRPr="00E4462A">
        <w:rPr>
          <w:lang w:val="en-GB"/>
        </w:rPr>
        <w:t xml:space="preserve">). </w:t>
      </w:r>
      <w:r w:rsidR="00214099" w:rsidRPr="00E4462A">
        <w:rPr>
          <w:lang w:val="en-GB"/>
        </w:rPr>
        <w:t>Molecular compositions with unique high abundance when derived from all six wetland samples were sparse and non-significant in case of OKA (Fig. 8E; see also Fig. S8B), whereas molecular compositions with unique high abundance in all four OKA and PAN samples occupied a rather dense, contiguous section of hydrogen-deficient (H/C ratio &lt; 1) and oxygenated (O/C ratio ~ 0.3 – 0.7</w:t>
      </w:r>
      <w:r w:rsidR="00E43B8E" w:rsidRPr="00E4462A">
        <w:rPr>
          <w:lang w:val="en-GB"/>
        </w:rPr>
        <w:t xml:space="preserve">) CHO and CHNO molecules (Fig. </w:t>
      </w:r>
      <w:r w:rsidR="00214099" w:rsidRPr="00E4462A">
        <w:rPr>
          <w:lang w:val="en-GB"/>
        </w:rPr>
        <w:t xml:space="preserve">8F). </w:t>
      </w:r>
      <w:r w:rsidR="00915909" w:rsidRPr="00E4462A">
        <w:rPr>
          <w:lang w:val="en-GB"/>
        </w:rPr>
        <w:t xml:space="preserve">In agreement with its high degree of photo-oxidation, the </w:t>
      </w:r>
      <w:r w:rsidRPr="00E4462A">
        <w:rPr>
          <w:lang w:val="en-GB"/>
        </w:rPr>
        <w:t>OKA contained higher proportions of highly oxygenated CHO (O/C ratio &gt; 0.7) and CHNO (O/C ratio &gt; 0.5) molecules, and a few rather abundant (and easily ionizable) sulfolipids</w:t>
      </w:r>
      <w:r w:rsidR="00AD5848" w:rsidRPr="00E4462A">
        <w:rPr>
          <w:lang w:val="en-GB"/>
        </w:rPr>
        <w:t xml:space="preserve"> (Fig. </w:t>
      </w:r>
      <w:r w:rsidR="00784CEE" w:rsidRPr="00E4462A">
        <w:rPr>
          <w:lang w:val="en-GB"/>
        </w:rPr>
        <w:t>S8B</w:t>
      </w:r>
      <w:r w:rsidR="00AD5848" w:rsidRPr="00E4462A">
        <w:rPr>
          <w:lang w:val="en-GB"/>
        </w:rPr>
        <w:t>)</w:t>
      </w:r>
      <w:r w:rsidR="000064A5" w:rsidRPr="00E4462A">
        <w:rPr>
          <w:lang w:val="en-GB"/>
        </w:rPr>
        <w:t>, whereas</w:t>
      </w:r>
      <w:r w:rsidR="00AD5848" w:rsidRPr="00E4462A">
        <w:rPr>
          <w:lang w:val="en-GB"/>
        </w:rPr>
        <w:t xml:space="preserve"> </w:t>
      </w:r>
      <w:r w:rsidR="000064A5" w:rsidRPr="00E4462A">
        <w:rPr>
          <w:lang w:val="en-GB"/>
        </w:rPr>
        <w:t>PAN</w:t>
      </w:r>
      <w:r w:rsidRPr="00E4462A">
        <w:rPr>
          <w:lang w:val="en-GB"/>
        </w:rPr>
        <w:t xml:space="preserve"> SPE-DOM </w:t>
      </w:r>
      <w:r w:rsidR="000064A5" w:rsidRPr="00E4462A">
        <w:rPr>
          <w:lang w:val="en-GB"/>
        </w:rPr>
        <w:t>displayed</w:t>
      </w:r>
      <w:r w:rsidRPr="00E4462A">
        <w:rPr>
          <w:lang w:val="en-GB"/>
        </w:rPr>
        <w:t xml:space="preserve"> larger proportions of hydrogen-deficient CHO molecules of considerable chemical diversity and extent of ox</w:t>
      </w:r>
      <w:r w:rsidR="00156244" w:rsidRPr="00E4462A">
        <w:rPr>
          <w:lang w:val="en-GB"/>
        </w:rPr>
        <w:t>ygenation (O/C ratio ~ 0.2–0.9</w:t>
      </w:r>
      <w:r w:rsidRPr="00E4462A">
        <w:rPr>
          <w:lang w:val="en-GB"/>
        </w:rPr>
        <w:t>)</w:t>
      </w:r>
      <w:r w:rsidR="00272562" w:rsidRPr="00E4462A">
        <w:rPr>
          <w:lang w:val="en-GB"/>
        </w:rPr>
        <w:t>,</w:t>
      </w:r>
      <w:r w:rsidRPr="00E4462A">
        <w:rPr>
          <w:lang w:val="en-GB"/>
        </w:rPr>
        <w:t xml:space="preserve"> </w:t>
      </w:r>
      <w:r w:rsidR="004D757B" w:rsidRPr="00E4462A">
        <w:rPr>
          <w:lang w:val="en-GB"/>
        </w:rPr>
        <w:t xml:space="preserve">and </w:t>
      </w:r>
      <w:r w:rsidR="000064A5" w:rsidRPr="00E4462A">
        <w:rPr>
          <w:lang w:val="en-GB"/>
        </w:rPr>
        <w:t xml:space="preserve">several </w:t>
      </w:r>
      <w:r w:rsidR="004D757B" w:rsidRPr="00E4462A">
        <w:rPr>
          <w:lang w:val="en-GB"/>
        </w:rPr>
        <w:t>dozens of CHNO molecules similarly positioned but with more limited range of oxygenation and hence, overall chemical diversity (</w:t>
      </w:r>
      <w:r w:rsidR="000064A5" w:rsidRPr="00E4462A">
        <w:rPr>
          <w:lang w:val="en-GB"/>
        </w:rPr>
        <w:t xml:space="preserve">Fig. </w:t>
      </w:r>
      <w:r w:rsidR="00197FB5" w:rsidRPr="00E4462A">
        <w:rPr>
          <w:lang w:val="en-GB"/>
        </w:rPr>
        <w:t>8D</w:t>
      </w:r>
      <w:r w:rsidR="004D757B" w:rsidRPr="00E4462A">
        <w:rPr>
          <w:lang w:val="en-GB"/>
        </w:rPr>
        <w:t xml:space="preserve">). </w:t>
      </w:r>
    </w:p>
    <w:p w14:paraId="6D46718E" w14:textId="5033ADE3" w:rsidR="004D757B" w:rsidRPr="00E4462A" w:rsidRDefault="004D757B" w:rsidP="008B22B1">
      <w:pPr>
        <w:spacing w:line="360" w:lineRule="auto"/>
        <w:ind w:firstLine="708"/>
        <w:jc w:val="both"/>
        <w:rPr>
          <w:rFonts w:cs="Arial"/>
          <w:lang w:val="en-GB"/>
        </w:rPr>
      </w:pPr>
      <w:r w:rsidRPr="00E4462A">
        <w:rPr>
          <w:lang w:val="en-GB"/>
        </w:rPr>
        <w:t>Remarkably, with the exception of a tiny section of CHO molecules (H/C ~ 1.1; O/C ~ 0.4), both CHO and CHNO molecular series for OKA and PAN near</w:t>
      </w:r>
      <w:r w:rsidR="00247EA4" w:rsidRPr="00E4462A">
        <w:rPr>
          <w:lang w:val="en-GB"/>
        </w:rPr>
        <w:t>ly</w:t>
      </w:r>
      <w:r w:rsidRPr="00E4462A">
        <w:rPr>
          <w:lang w:val="en-GB"/>
        </w:rPr>
        <w:t xml:space="preserve"> perfectly superimpose in the H/C against O/C van Krevelen diagram (Fig. </w:t>
      </w:r>
      <w:r w:rsidR="00197FB5" w:rsidRPr="00E4462A">
        <w:rPr>
          <w:lang w:val="en-GB"/>
        </w:rPr>
        <w:t>8F</w:t>
      </w:r>
      <w:r w:rsidRPr="00E4462A">
        <w:rPr>
          <w:lang w:val="en-GB"/>
        </w:rPr>
        <w:t xml:space="preserve">). It is very likely that these CHO molecules </w:t>
      </w:r>
      <w:r w:rsidR="003138B6" w:rsidRPr="00E4462A">
        <w:rPr>
          <w:lang w:val="en-GB"/>
        </w:rPr>
        <w:t>jointly present in</w:t>
      </w:r>
      <w:r w:rsidRPr="00E4462A">
        <w:rPr>
          <w:lang w:val="en-GB"/>
        </w:rPr>
        <w:t xml:space="preserve"> PAN</w:t>
      </w:r>
      <w:r w:rsidR="003138B6" w:rsidRPr="00E4462A">
        <w:rPr>
          <w:lang w:val="en-GB"/>
        </w:rPr>
        <w:t xml:space="preserve"> + OKA</w:t>
      </w:r>
      <w:r w:rsidRPr="00E4462A">
        <w:rPr>
          <w:lang w:val="en-GB"/>
        </w:rPr>
        <w:t xml:space="preserve"> mainly represent oxygenated aromatic molecules, possibly connected by ether linkages. This is one of the most comprehens</w:t>
      </w:r>
      <w:r w:rsidR="00247EA4" w:rsidRPr="00E4462A">
        <w:rPr>
          <w:lang w:val="en-GB"/>
        </w:rPr>
        <w:t>ive</w:t>
      </w:r>
      <w:r w:rsidRPr="00E4462A">
        <w:rPr>
          <w:lang w:val="en-GB"/>
        </w:rPr>
        <w:t xml:space="preserve"> ways to envision such hydrogen-deficient molecules of conceivable natural product origin</w:t>
      </w:r>
      <w:r w:rsidR="00053F9C" w:rsidRPr="00E4462A">
        <w:rPr>
          <w:lang w:val="en-GB"/>
        </w:rPr>
        <w:t xml:space="preserve">, and </w:t>
      </w:r>
      <w:r w:rsidR="00053F9C" w:rsidRPr="00E4462A">
        <w:rPr>
          <w:rFonts w:cs="Arial"/>
          <w:lang w:val="en-GB"/>
        </w:rPr>
        <w:t>in agreement with the NMR data suggesting a higher degree of oxidized, H-deficient materials at these sites compared to the FCE. This is particula</w:t>
      </w:r>
      <w:r w:rsidR="00156244" w:rsidRPr="00E4462A">
        <w:rPr>
          <w:rFonts w:cs="Arial"/>
          <w:lang w:val="en-GB"/>
        </w:rPr>
        <w:t xml:space="preserve">rly true for the PAN which </w:t>
      </w:r>
      <w:r w:rsidR="0059577E" w:rsidRPr="00E4462A">
        <w:rPr>
          <w:rFonts w:cs="Arial"/>
          <w:lang w:val="en-GB"/>
        </w:rPr>
        <w:t xml:space="preserve">shows </w:t>
      </w:r>
      <w:r w:rsidR="00053F9C" w:rsidRPr="00E4462A">
        <w:rPr>
          <w:rFonts w:cs="Arial"/>
          <w:lang w:val="en-GB"/>
        </w:rPr>
        <w:t>unique molecular formulas for oxidized, H-deficient CHO and CHNO components, wh</w:t>
      </w:r>
      <w:r w:rsidR="000064A5" w:rsidRPr="00E4462A">
        <w:rPr>
          <w:rFonts w:cs="Arial"/>
          <w:lang w:val="en-GB"/>
        </w:rPr>
        <w:t>ereas</w:t>
      </w:r>
      <w:r w:rsidR="00053F9C" w:rsidRPr="00E4462A">
        <w:rPr>
          <w:rFonts w:cs="Arial"/>
          <w:lang w:val="en-GB"/>
        </w:rPr>
        <w:t xml:space="preserve"> molecular formulas unique for the OKA are relatively few (Fig. </w:t>
      </w:r>
      <w:r w:rsidR="00197FB5" w:rsidRPr="00E4462A">
        <w:rPr>
          <w:rFonts w:cs="Arial"/>
          <w:lang w:val="en-GB"/>
        </w:rPr>
        <w:t xml:space="preserve">8E </w:t>
      </w:r>
      <w:r w:rsidR="008676D5" w:rsidRPr="00E4462A">
        <w:rPr>
          <w:rFonts w:cs="Arial"/>
          <w:lang w:val="en-GB"/>
        </w:rPr>
        <w:t>and</w:t>
      </w:r>
      <w:r w:rsidR="00204921" w:rsidRPr="00E4462A">
        <w:rPr>
          <w:rFonts w:cs="Arial"/>
          <w:lang w:val="en-GB"/>
        </w:rPr>
        <w:t xml:space="preserve"> Fig. </w:t>
      </w:r>
      <w:r w:rsidR="00197FB5" w:rsidRPr="00E4462A">
        <w:rPr>
          <w:rFonts w:cs="Arial"/>
          <w:lang w:val="en-GB"/>
        </w:rPr>
        <w:t>8F</w:t>
      </w:r>
      <w:r w:rsidR="008676D5" w:rsidRPr="00E4462A">
        <w:rPr>
          <w:rFonts w:cs="Arial"/>
          <w:lang w:val="en-GB"/>
        </w:rPr>
        <w:t>;</w:t>
      </w:r>
      <w:r w:rsidR="00053F9C" w:rsidRPr="00E4462A">
        <w:rPr>
          <w:rFonts w:cs="Arial"/>
          <w:lang w:val="en-GB"/>
        </w:rPr>
        <w:t xml:space="preserve"> </w:t>
      </w:r>
      <w:r w:rsidR="000064A5" w:rsidRPr="00E4462A">
        <w:rPr>
          <w:rFonts w:cs="Arial"/>
          <w:lang w:val="en-GB"/>
        </w:rPr>
        <w:t>Fig</w:t>
      </w:r>
      <w:r w:rsidR="002B3CE9" w:rsidRPr="00E4462A">
        <w:rPr>
          <w:rFonts w:cs="Arial"/>
          <w:lang w:val="en-GB"/>
        </w:rPr>
        <w:t>s</w:t>
      </w:r>
      <w:r w:rsidR="000064A5" w:rsidRPr="00E4462A">
        <w:rPr>
          <w:rFonts w:cs="Arial"/>
          <w:lang w:val="en-GB"/>
        </w:rPr>
        <w:t xml:space="preserve">. </w:t>
      </w:r>
      <w:r w:rsidR="008676D5" w:rsidRPr="00E4462A">
        <w:rPr>
          <w:rFonts w:cs="Arial"/>
          <w:lang w:val="en-GB"/>
        </w:rPr>
        <w:t xml:space="preserve">S8B and </w:t>
      </w:r>
      <w:r w:rsidR="00784CEE" w:rsidRPr="00E4462A">
        <w:rPr>
          <w:rFonts w:cs="Arial"/>
          <w:lang w:val="en-GB"/>
        </w:rPr>
        <w:t>S</w:t>
      </w:r>
      <w:r w:rsidR="00156244" w:rsidRPr="00E4462A">
        <w:rPr>
          <w:rFonts w:cs="Arial"/>
          <w:lang w:val="en-GB"/>
        </w:rPr>
        <w:t>8</w:t>
      </w:r>
      <w:r w:rsidR="00784CEE" w:rsidRPr="00E4462A">
        <w:rPr>
          <w:rFonts w:cs="Arial"/>
          <w:lang w:val="en-GB"/>
        </w:rPr>
        <w:t>C</w:t>
      </w:r>
      <w:r w:rsidR="00053F9C" w:rsidRPr="00E4462A">
        <w:rPr>
          <w:rFonts w:cs="Arial"/>
          <w:lang w:val="en-GB"/>
        </w:rPr>
        <w:t>).</w:t>
      </w:r>
    </w:p>
    <w:p w14:paraId="427F34B8" w14:textId="77777777" w:rsidR="00992ECD" w:rsidRPr="00E4462A" w:rsidRDefault="00992ECD" w:rsidP="008B22B1">
      <w:pPr>
        <w:spacing w:line="360" w:lineRule="auto"/>
        <w:jc w:val="both"/>
        <w:rPr>
          <w:b/>
          <w:lang w:val="en-GB"/>
        </w:rPr>
      </w:pPr>
    </w:p>
    <w:p w14:paraId="5CF14364" w14:textId="512E8488" w:rsidR="002E7B2C" w:rsidRPr="00E4462A" w:rsidRDefault="003A74DE" w:rsidP="008B22B1">
      <w:pPr>
        <w:spacing w:line="360" w:lineRule="auto"/>
        <w:jc w:val="both"/>
        <w:rPr>
          <w:lang w:val="en-GB"/>
        </w:rPr>
      </w:pPr>
      <w:r w:rsidRPr="00E4462A">
        <w:rPr>
          <w:i/>
          <w:lang w:val="en-GB"/>
        </w:rPr>
        <w:t>4</w:t>
      </w:r>
      <w:r w:rsidR="00331408" w:rsidRPr="00E4462A">
        <w:rPr>
          <w:i/>
          <w:lang w:val="en-GB"/>
        </w:rPr>
        <w:t xml:space="preserve">) </w:t>
      </w:r>
      <w:r w:rsidRPr="00E4462A">
        <w:rPr>
          <w:i/>
          <w:lang w:val="en-GB"/>
        </w:rPr>
        <w:t>Conclusions and b</w:t>
      </w:r>
      <w:r w:rsidR="00992ECD" w:rsidRPr="00E4462A">
        <w:rPr>
          <w:i/>
          <w:lang w:val="en-GB"/>
        </w:rPr>
        <w:t xml:space="preserve">iogeochemical significance: </w:t>
      </w:r>
      <w:r w:rsidR="00197FB5" w:rsidRPr="00E4462A">
        <w:rPr>
          <w:lang w:val="en-GB"/>
        </w:rPr>
        <w:t>Very</w:t>
      </w:r>
      <w:r w:rsidR="00005B77" w:rsidRPr="00E4462A">
        <w:rPr>
          <w:lang w:val="en-GB"/>
        </w:rPr>
        <w:t xml:space="preserve"> d</w:t>
      </w:r>
      <w:r w:rsidR="00992ECD" w:rsidRPr="00E4462A">
        <w:rPr>
          <w:lang w:val="en-GB"/>
        </w:rPr>
        <w:t>et</w:t>
      </w:r>
      <w:r w:rsidR="00C71B92" w:rsidRPr="00E4462A">
        <w:rPr>
          <w:lang w:val="en-GB"/>
        </w:rPr>
        <w:t xml:space="preserve">ailed molecular analyses of </w:t>
      </w:r>
      <w:r w:rsidR="00992ECD" w:rsidRPr="00E4462A">
        <w:rPr>
          <w:lang w:val="en-GB"/>
        </w:rPr>
        <w:t>DOM samples from three different sub-tropical freshwater wetlands</w:t>
      </w:r>
      <w:r w:rsidR="00005B77" w:rsidRPr="00E4462A">
        <w:rPr>
          <w:lang w:val="en-GB"/>
        </w:rPr>
        <w:t xml:space="preserve"> suggest in agreement with</w:t>
      </w:r>
      <w:r w:rsidR="00992ECD" w:rsidRPr="00E4462A">
        <w:rPr>
          <w:lang w:val="en-GB"/>
        </w:rPr>
        <w:t xml:space="preserve"> previous reports </w:t>
      </w:r>
      <w:r w:rsidR="00005B77" w:rsidRPr="00E4462A">
        <w:rPr>
          <w:lang w:val="en-GB"/>
        </w:rPr>
        <w:t>on riverine and marine DOM characterizations,</w:t>
      </w:r>
      <w:r w:rsidR="00992ECD" w:rsidRPr="00E4462A">
        <w:rPr>
          <w:lang w:val="en-GB"/>
        </w:rPr>
        <w:t xml:space="preserve"> </w:t>
      </w:r>
      <w:r w:rsidR="00197FB5" w:rsidRPr="00E4462A">
        <w:rPr>
          <w:lang w:val="en-GB"/>
        </w:rPr>
        <w:t xml:space="preserve">that </w:t>
      </w:r>
      <w:r w:rsidR="00992ECD" w:rsidRPr="00E4462A">
        <w:rPr>
          <w:lang w:val="en-GB"/>
        </w:rPr>
        <w:t xml:space="preserve">many of the bulk molecular characteristics in freshwater DOM are shared by ecosystems </w:t>
      </w:r>
      <w:r w:rsidR="00124215" w:rsidRPr="00E4462A">
        <w:rPr>
          <w:lang w:val="en-GB"/>
        </w:rPr>
        <w:t>despite</w:t>
      </w:r>
      <w:r w:rsidR="00992ECD" w:rsidRPr="00E4462A">
        <w:rPr>
          <w:lang w:val="en-GB"/>
        </w:rPr>
        <w:t xml:space="preserve"> be</w:t>
      </w:r>
      <w:r w:rsidR="00124215" w:rsidRPr="00E4462A">
        <w:rPr>
          <w:lang w:val="en-GB"/>
        </w:rPr>
        <w:t>ing</w:t>
      </w:r>
      <w:r w:rsidR="00992ECD" w:rsidRPr="00E4462A">
        <w:rPr>
          <w:lang w:val="en-GB"/>
        </w:rPr>
        <w:t xml:space="preserve"> very different in their </w:t>
      </w:r>
      <w:r w:rsidR="00992ECD" w:rsidRPr="00E4462A">
        <w:rPr>
          <w:lang w:val="en-GB"/>
        </w:rPr>
        <w:lastRenderedPageBreak/>
        <w:t xml:space="preserve">environmental </w:t>
      </w:r>
      <w:r w:rsidR="0059577E" w:rsidRPr="00E4462A">
        <w:rPr>
          <w:lang w:val="en-GB"/>
        </w:rPr>
        <w:t>setting</w:t>
      </w:r>
      <w:r w:rsidR="00124215" w:rsidRPr="00E4462A">
        <w:rPr>
          <w:lang w:val="en-GB"/>
        </w:rPr>
        <w:t>s</w:t>
      </w:r>
      <w:r w:rsidR="00C71B92" w:rsidRPr="00E4462A">
        <w:rPr>
          <w:lang w:val="en-GB"/>
        </w:rPr>
        <w:t xml:space="preserve"> (Repeta et al., 2002; </w:t>
      </w:r>
      <w:r w:rsidR="00283F44" w:rsidRPr="00E4462A">
        <w:rPr>
          <w:lang w:val="en-GB"/>
        </w:rPr>
        <w:t>Jaffé</w:t>
      </w:r>
      <w:r w:rsidR="00C71B92" w:rsidRPr="00E4462A">
        <w:rPr>
          <w:lang w:val="en-GB"/>
        </w:rPr>
        <w:t xml:space="preserve"> et al., 2012)</w:t>
      </w:r>
      <w:r w:rsidR="00992ECD" w:rsidRPr="00E4462A">
        <w:rPr>
          <w:lang w:val="en-GB"/>
        </w:rPr>
        <w:t xml:space="preserve">. </w:t>
      </w:r>
      <w:r w:rsidR="00634F47" w:rsidRPr="00E4462A">
        <w:rPr>
          <w:lang w:val="en-GB"/>
        </w:rPr>
        <w:t xml:space="preserve">Nevertheless, organic structural spectroscopy </w:t>
      </w:r>
      <w:r w:rsidRPr="00E4462A">
        <w:rPr>
          <w:lang w:val="en-GB"/>
        </w:rPr>
        <w:t xml:space="preserve">provided </w:t>
      </w:r>
      <w:r w:rsidR="00634F47" w:rsidRPr="00E4462A">
        <w:rPr>
          <w:lang w:val="en-GB"/>
        </w:rPr>
        <w:t xml:space="preserve">evidence for wetland-specific molecular assemblies. </w:t>
      </w:r>
      <w:r w:rsidRPr="00E4462A">
        <w:rPr>
          <w:lang w:val="en-GB"/>
        </w:rPr>
        <w:t xml:space="preserve">NMR and FTMS analysis provided exceptional coverage of wetland SPE-DOM composition and structure, confirming individual wetland organic matter molecular characteristics. Those were directly revealed in </w:t>
      </w:r>
      <w:r w:rsidRPr="00E4462A">
        <w:rPr>
          <w:vertAlign w:val="superscript"/>
          <w:lang w:val="en-GB"/>
        </w:rPr>
        <w:t>1</w:t>
      </w:r>
      <w:r w:rsidRPr="00E4462A">
        <w:rPr>
          <w:lang w:val="en-GB"/>
        </w:rPr>
        <w:t xml:space="preserve">H NMR spectra, while extensive mathematical analysis was mandatory to discern analogous distinction in FTICR mass spectra, which show extensive projection of structural variance on the primary measured variable. </w:t>
      </w:r>
      <w:r w:rsidR="00634F47" w:rsidRPr="00E4462A">
        <w:rPr>
          <w:lang w:val="en-GB"/>
        </w:rPr>
        <w:t>These</w:t>
      </w:r>
      <w:r w:rsidR="00992ECD" w:rsidRPr="00E4462A">
        <w:rPr>
          <w:lang w:val="en-GB"/>
        </w:rPr>
        <w:t xml:space="preserve"> detailed analyses reveal</w:t>
      </w:r>
      <w:r w:rsidR="00DB3576" w:rsidRPr="00E4462A">
        <w:rPr>
          <w:lang w:val="en-GB"/>
        </w:rPr>
        <w:t>ed</w:t>
      </w:r>
      <w:r w:rsidR="00992ECD" w:rsidRPr="00E4462A">
        <w:rPr>
          <w:lang w:val="en-GB"/>
        </w:rPr>
        <w:t xml:space="preserve"> significant variations in the molecular composition that can</w:t>
      </w:r>
      <w:r w:rsidR="00124215" w:rsidRPr="00E4462A">
        <w:rPr>
          <w:lang w:val="en-GB"/>
        </w:rPr>
        <w:t>,</w:t>
      </w:r>
      <w:r w:rsidR="00992ECD" w:rsidRPr="00E4462A">
        <w:rPr>
          <w:lang w:val="en-GB"/>
        </w:rPr>
        <w:t xml:space="preserve"> in some cases</w:t>
      </w:r>
      <w:r w:rsidR="00124215" w:rsidRPr="00E4462A">
        <w:rPr>
          <w:lang w:val="en-GB"/>
        </w:rPr>
        <w:t>,</w:t>
      </w:r>
      <w:r w:rsidR="00992ECD" w:rsidRPr="00E4462A">
        <w:rPr>
          <w:lang w:val="en-GB"/>
        </w:rPr>
        <w:t xml:space="preserve"> be controlled by site-specifi</w:t>
      </w:r>
      <w:r w:rsidR="00C71B92" w:rsidRPr="00E4462A">
        <w:rPr>
          <w:lang w:val="en-GB"/>
        </w:rPr>
        <w:t>c environmental conditions</w:t>
      </w:r>
      <w:r w:rsidR="008676D5" w:rsidRPr="00E4462A">
        <w:rPr>
          <w:lang w:val="en-GB"/>
        </w:rPr>
        <w:t xml:space="preserve">. Among those are </w:t>
      </w:r>
      <w:r w:rsidR="00992ECD" w:rsidRPr="00E4462A">
        <w:rPr>
          <w:lang w:val="en-GB"/>
        </w:rPr>
        <w:t xml:space="preserve">hydrological drivers such as hydroperiod (lengths and depths of inundation), </w:t>
      </w:r>
      <w:r w:rsidR="00C71B92" w:rsidRPr="00E4462A">
        <w:rPr>
          <w:lang w:val="en-GB"/>
        </w:rPr>
        <w:t xml:space="preserve">resulting in variations in </w:t>
      </w:r>
      <w:r w:rsidR="00992ECD" w:rsidRPr="00E4462A">
        <w:rPr>
          <w:lang w:val="en-GB"/>
        </w:rPr>
        <w:t>light penetration and associated photochemical processes</w:t>
      </w:r>
      <w:r w:rsidR="0052701C" w:rsidRPr="00E4462A">
        <w:rPr>
          <w:lang w:val="en-GB"/>
        </w:rPr>
        <w:t xml:space="preserve"> along with</w:t>
      </w:r>
      <w:r w:rsidR="00992ECD" w:rsidRPr="00E4462A">
        <w:rPr>
          <w:lang w:val="en-GB"/>
        </w:rPr>
        <w:t xml:space="preserve"> </w:t>
      </w:r>
      <w:r w:rsidR="00C71B92" w:rsidRPr="00E4462A">
        <w:rPr>
          <w:lang w:val="en-GB"/>
        </w:rPr>
        <w:t>seasonal drying of surface soils and associated aerobic oxidation processes</w:t>
      </w:r>
      <w:r w:rsidR="0052701C" w:rsidRPr="00E4462A">
        <w:rPr>
          <w:lang w:val="en-GB"/>
        </w:rPr>
        <w:t>. Other drivers include</w:t>
      </w:r>
      <w:r w:rsidR="009E25BA" w:rsidRPr="00E4462A">
        <w:rPr>
          <w:lang w:val="en-GB"/>
        </w:rPr>
        <w:t xml:space="preserve"> </w:t>
      </w:r>
      <w:r w:rsidR="00005B77" w:rsidRPr="00E4462A">
        <w:rPr>
          <w:lang w:val="en-GB"/>
        </w:rPr>
        <w:t xml:space="preserve">(i) </w:t>
      </w:r>
      <w:r w:rsidR="008676D5" w:rsidRPr="00E4462A">
        <w:rPr>
          <w:lang w:val="en-GB"/>
        </w:rPr>
        <w:t>external sources of sulphur</w:t>
      </w:r>
      <w:r w:rsidR="0052701C" w:rsidRPr="00E4462A">
        <w:rPr>
          <w:lang w:val="en-GB"/>
        </w:rPr>
        <w:t>, such as agricultural activities and sea spray,</w:t>
      </w:r>
      <w:r w:rsidR="008676D5" w:rsidRPr="00E4462A">
        <w:rPr>
          <w:lang w:val="en-GB"/>
        </w:rPr>
        <w:t xml:space="preserve"> </w:t>
      </w:r>
      <w:r w:rsidR="00005B77" w:rsidRPr="00E4462A">
        <w:rPr>
          <w:lang w:val="en-GB"/>
        </w:rPr>
        <w:t xml:space="preserve">resulting in the formation of a variety of sulphur compounds in DOM, (ii) </w:t>
      </w:r>
      <w:r w:rsidR="008676D5" w:rsidRPr="00E4462A">
        <w:rPr>
          <w:lang w:val="en-GB"/>
        </w:rPr>
        <w:t xml:space="preserve">fire regime, </w:t>
      </w:r>
      <w:r w:rsidR="00C71B92" w:rsidRPr="00E4462A">
        <w:rPr>
          <w:lang w:val="en-GB"/>
        </w:rPr>
        <w:t>possibly</w:t>
      </w:r>
      <w:r w:rsidR="0052701C" w:rsidRPr="00E4462A">
        <w:rPr>
          <w:lang w:val="en-GB"/>
        </w:rPr>
        <w:t xml:space="preserve"> causing</w:t>
      </w:r>
      <w:r w:rsidR="00C71B92" w:rsidRPr="00E4462A">
        <w:rPr>
          <w:lang w:val="en-GB"/>
        </w:rPr>
        <w:t xml:space="preserve"> soil OM charring during wildfires, </w:t>
      </w:r>
      <w:r w:rsidR="00992ECD" w:rsidRPr="00E4462A">
        <w:rPr>
          <w:lang w:val="en-GB"/>
        </w:rPr>
        <w:t>and</w:t>
      </w:r>
      <w:r w:rsidR="00C71B92" w:rsidRPr="00E4462A">
        <w:rPr>
          <w:lang w:val="en-GB"/>
        </w:rPr>
        <w:t xml:space="preserve"> </w:t>
      </w:r>
      <w:r w:rsidR="006B0639" w:rsidRPr="00E4462A">
        <w:rPr>
          <w:lang w:val="en-GB"/>
        </w:rPr>
        <w:t xml:space="preserve">(iii) </w:t>
      </w:r>
      <w:r w:rsidR="0052701C" w:rsidRPr="00E4462A">
        <w:rPr>
          <w:lang w:val="en-GB"/>
        </w:rPr>
        <w:t xml:space="preserve">natural </w:t>
      </w:r>
      <w:r w:rsidR="00C71B92" w:rsidRPr="00E4462A">
        <w:rPr>
          <w:lang w:val="en-GB"/>
        </w:rPr>
        <w:t>DOM source variations</w:t>
      </w:r>
      <w:r w:rsidR="00992ECD" w:rsidRPr="00E4462A">
        <w:rPr>
          <w:lang w:val="en-GB"/>
        </w:rPr>
        <w:t xml:space="preserve"> </w:t>
      </w:r>
      <w:r w:rsidR="00C71B92" w:rsidRPr="00E4462A">
        <w:rPr>
          <w:lang w:val="en-GB"/>
        </w:rPr>
        <w:t xml:space="preserve">and </w:t>
      </w:r>
      <w:r w:rsidR="00E30E26" w:rsidRPr="00E4462A">
        <w:rPr>
          <w:lang w:val="en-GB"/>
        </w:rPr>
        <w:t xml:space="preserve">source </w:t>
      </w:r>
      <w:r w:rsidR="00C71B92" w:rsidRPr="00E4462A">
        <w:rPr>
          <w:lang w:val="en-GB"/>
        </w:rPr>
        <w:t xml:space="preserve">strength in the contribution </w:t>
      </w:r>
      <w:r w:rsidR="009E25BA" w:rsidRPr="00E4462A">
        <w:rPr>
          <w:lang w:val="en-GB"/>
        </w:rPr>
        <w:t>from</w:t>
      </w:r>
      <w:r w:rsidR="00992ECD" w:rsidRPr="00E4462A">
        <w:rPr>
          <w:lang w:val="en-GB"/>
        </w:rPr>
        <w:t xml:space="preserve"> vascular plants, grasses, and aquatic vegetation including </w:t>
      </w:r>
      <w:r w:rsidR="009E25BA" w:rsidRPr="00E4462A">
        <w:rPr>
          <w:lang w:val="en-GB"/>
        </w:rPr>
        <w:t xml:space="preserve">microbial contributions from </w:t>
      </w:r>
      <w:r w:rsidR="00992ECD" w:rsidRPr="00E4462A">
        <w:rPr>
          <w:lang w:val="en-GB"/>
        </w:rPr>
        <w:t>pe</w:t>
      </w:r>
      <w:r w:rsidR="005F30CA" w:rsidRPr="00E4462A">
        <w:rPr>
          <w:lang w:val="en-GB"/>
        </w:rPr>
        <w:t>riphyton.</w:t>
      </w:r>
      <w:r w:rsidR="00992ECD" w:rsidRPr="00E4462A">
        <w:rPr>
          <w:lang w:val="en-GB"/>
        </w:rPr>
        <w:t xml:space="preserve"> As such, while not all molecular differences could be explained through one or more of these drivers, this study illustrates </w:t>
      </w:r>
      <w:r w:rsidR="006B0639" w:rsidRPr="00E4462A">
        <w:rPr>
          <w:lang w:val="en-GB"/>
        </w:rPr>
        <w:t xml:space="preserve">for the first time </w:t>
      </w:r>
      <w:r w:rsidR="00992ECD" w:rsidRPr="00E4462A">
        <w:rPr>
          <w:lang w:val="en-GB"/>
        </w:rPr>
        <w:t xml:space="preserve">the </w:t>
      </w:r>
      <w:r w:rsidR="006B0639" w:rsidRPr="00E4462A">
        <w:rPr>
          <w:lang w:val="en-GB"/>
        </w:rPr>
        <w:t xml:space="preserve">extensive </w:t>
      </w:r>
      <w:r w:rsidR="00992ECD" w:rsidRPr="00E4462A">
        <w:rPr>
          <w:lang w:val="en-GB"/>
        </w:rPr>
        <w:t xml:space="preserve">molecular </w:t>
      </w:r>
      <w:r w:rsidR="00D96A24" w:rsidRPr="00E4462A">
        <w:rPr>
          <w:lang w:val="en-GB"/>
        </w:rPr>
        <w:t xml:space="preserve">diversity and compositional </w:t>
      </w:r>
      <w:r w:rsidR="00992ECD" w:rsidRPr="00E4462A">
        <w:rPr>
          <w:lang w:val="en-GB"/>
        </w:rPr>
        <w:t xml:space="preserve">complexity of DOM in wetlands, </w:t>
      </w:r>
      <w:r w:rsidR="006B0639" w:rsidRPr="00E4462A">
        <w:rPr>
          <w:lang w:val="en-GB"/>
        </w:rPr>
        <w:t>and as such should serve as a database for future characterization efforts</w:t>
      </w:r>
      <w:r w:rsidR="00992ECD" w:rsidRPr="00E4462A">
        <w:rPr>
          <w:lang w:val="en-GB"/>
        </w:rPr>
        <w:t>.</w:t>
      </w:r>
      <w:r w:rsidR="00C71B92" w:rsidRPr="00E4462A">
        <w:rPr>
          <w:lang w:val="en-GB"/>
        </w:rPr>
        <w:t xml:space="preserve"> Further </w:t>
      </w:r>
      <w:r w:rsidR="009E25BA" w:rsidRPr="00E4462A">
        <w:rPr>
          <w:lang w:val="en-GB"/>
        </w:rPr>
        <w:t xml:space="preserve">detailed </w:t>
      </w:r>
      <w:r w:rsidR="00C71B92" w:rsidRPr="00E4462A">
        <w:rPr>
          <w:lang w:val="en-GB"/>
        </w:rPr>
        <w:t xml:space="preserve">molecular-level characterizations of wetland DOM are encouraged as a means to better understand spatial and seasonal variability in sources, transformations and reactivity, </w:t>
      </w:r>
      <w:r w:rsidR="00827FB5" w:rsidRPr="00E4462A">
        <w:rPr>
          <w:lang w:val="en-GB"/>
        </w:rPr>
        <w:t xml:space="preserve">which can be </w:t>
      </w:r>
      <w:r w:rsidR="00C71B92" w:rsidRPr="00E4462A">
        <w:rPr>
          <w:lang w:val="en-GB"/>
        </w:rPr>
        <w:t>ultimately</w:t>
      </w:r>
      <w:r w:rsidR="00827FB5" w:rsidRPr="00E4462A">
        <w:rPr>
          <w:lang w:val="en-GB"/>
        </w:rPr>
        <w:t xml:space="preserve"> used to</w:t>
      </w:r>
      <w:r w:rsidR="00C71B92" w:rsidRPr="00E4462A">
        <w:rPr>
          <w:lang w:val="en-GB"/>
        </w:rPr>
        <w:t xml:space="preserve"> </w:t>
      </w:r>
      <w:r w:rsidR="009E25BA" w:rsidRPr="00E4462A">
        <w:rPr>
          <w:lang w:val="en-GB"/>
        </w:rPr>
        <w:t>aid in constraining carbon cycling models.</w:t>
      </w:r>
      <w:r w:rsidR="00C71B92" w:rsidRPr="00E4462A">
        <w:rPr>
          <w:lang w:val="en-GB"/>
        </w:rPr>
        <w:t xml:space="preserve"> </w:t>
      </w:r>
    </w:p>
    <w:p w14:paraId="68B145E7" w14:textId="77777777" w:rsidR="0015040E" w:rsidRPr="00E4462A" w:rsidRDefault="0015040E" w:rsidP="008B22B1">
      <w:pPr>
        <w:spacing w:line="360" w:lineRule="auto"/>
        <w:jc w:val="both"/>
        <w:rPr>
          <w:lang w:val="en-GB"/>
        </w:rPr>
      </w:pPr>
    </w:p>
    <w:p w14:paraId="4CA0F82C" w14:textId="345823E3" w:rsidR="00E632D8" w:rsidRPr="00E4462A" w:rsidRDefault="00E632D8" w:rsidP="00E632D8">
      <w:pPr>
        <w:spacing w:line="360" w:lineRule="auto"/>
        <w:jc w:val="both"/>
        <w:rPr>
          <w:lang w:val="en-GB"/>
        </w:rPr>
      </w:pPr>
      <w:r w:rsidRPr="00E4462A">
        <w:rPr>
          <w:rStyle w:val="Strong"/>
          <w:color w:val="000000"/>
          <w:lang w:val="en-US"/>
        </w:rPr>
        <w:t>Author contributions</w:t>
      </w:r>
      <w:r w:rsidRPr="00E4462A">
        <w:rPr>
          <w:color w:val="000000"/>
          <w:lang w:val="en-US"/>
        </w:rPr>
        <w:t>: N.H. performed NMR study, contributed to the study design, data interpretation and actively participated in the writing of the manuscript; M.H. performed the FT-ICR/MS analyses and data manipulation and participated in data interpretation; K.C. collected samples from Okavango Delta and Ever</w:t>
      </w:r>
      <w:r w:rsidR="007D2C53" w:rsidRPr="00E4462A">
        <w:rPr>
          <w:color w:val="000000"/>
          <w:lang w:val="en-US"/>
        </w:rPr>
        <w:t>g</w:t>
      </w:r>
      <w:r w:rsidRPr="00E4462A">
        <w:rPr>
          <w:color w:val="000000"/>
          <w:lang w:val="en-US"/>
        </w:rPr>
        <w:t>lades and performed optical properties study; P.S-K. Provided support for the FT-ICR/MS analyses and general data interpretations; R.J. collected Pantanal and Everglades samples, participated in all data interpretations, took the lead in coordinating this study and writing this manuscript, and generated funding in support of this research. All authors provided significant input on the final manuscript.</w:t>
      </w:r>
    </w:p>
    <w:p w14:paraId="64671824" w14:textId="77777777" w:rsidR="00A4133B" w:rsidRPr="00E4462A" w:rsidRDefault="00A4133B" w:rsidP="008B22B1">
      <w:pPr>
        <w:spacing w:line="360" w:lineRule="auto"/>
        <w:jc w:val="both"/>
        <w:rPr>
          <w:lang w:val="en-GB"/>
        </w:rPr>
      </w:pPr>
    </w:p>
    <w:p w14:paraId="621606A6" w14:textId="6352B3F0" w:rsidR="00A4133B" w:rsidRPr="00E4462A" w:rsidRDefault="00A4133B" w:rsidP="008B22B1">
      <w:pPr>
        <w:spacing w:line="360" w:lineRule="auto"/>
        <w:jc w:val="both"/>
        <w:rPr>
          <w:lang w:val="en-GB"/>
        </w:rPr>
      </w:pPr>
      <w:r w:rsidRPr="00E4462A">
        <w:rPr>
          <w:b/>
          <w:lang w:val="en-GB"/>
        </w:rPr>
        <w:t>Acknowledgments</w:t>
      </w:r>
      <w:r w:rsidRPr="00E4462A">
        <w:rPr>
          <w:lang w:val="en-GB"/>
        </w:rPr>
        <w:t xml:space="preserve">: The authors acknowledge the financial support from </w:t>
      </w:r>
      <w:r w:rsidRPr="00E4462A">
        <w:rPr>
          <w:lang w:val="en-US"/>
        </w:rPr>
        <w:t>the George Barley Chair and the Florida Coastal Everglades LTER (DEB – 1237517</w:t>
      </w:r>
      <w:r w:rsidR="002B3CE9" w:rsidRPr="00E4462A">
        <w:rPr>
          <w:lang w:val="en-US"/>
        </w:rPr>
        <w:t>; to RJ</w:t>
      </w:r>
      <w:r w:rsidRPr="00E4462A">
        <w:rPr>
          <w:lang w:val="en-US"/>
        </w:rPr>
        <w:t>) for funding this research. We are grateful to C. Nunes, N. Rodriguez</w:t>
      </w:r>
      <w:r w:rsidR="00B57D1B" w:rsidRPr="00E4462A">
        <w:rPr>
          <w:lang w:val="en-US"/>
        </w:rPr>
        <w:t>, N. Mladenov</w:t>
      </w:r>
      <w:r w:rsidRPr="00E4462A">
        <w:rPr>
          <w:lang w:val="en-US"/>
        </w:rPr>
        <w:t xml:space="preserve"> and P. Wolski who assisted in field logistics</w:t>
      </w:r>
      <w:r w:rsidR="00634F47" w:rsidRPr="00E4462A">
        <w:rPr>
          <w:lang w:val="en-US"/>
        </w:rPr>
        <w:t xml:space="preserve"> and to S. Thaller (HMGU) who expertly assisted in NMR sample preparation and assembly of figures</w:t>
      </w:r>
      <w:r w:rsidR="008676D5" w:rsidRPr="00E4462A">
        <w:rPr>
          <w:lang w:val="en-US"/>
        </w:rPr>
        <w:t>.</w:t>
      </w:r>
      <w:r w:rsidRPr="00E4462A">
        <w:rPr>
          <w:lang w:val="en-US"/>
        </w:rPr>
        <w:t xml:space="preserve"> </w:t>
      </w:r>
      <w:r w:rsidR="00723937" w:rsidRPr="00E4462A">
        <w:rPr>
          <w:lang w:val="en-US"/>
        </w:rPr>
        <w:t xml:space="preserve">K.C. thanks Everglades National Park for a Post-doctoral fellowship. </w:t>
      </w:r>
      <w:r w:rsidRPr="00E4462A">
        <w:rPr>
          <w:lang w:val="en-US"/>
        </w:rPr>
        <w:t>This is SERC contribution number ###.</w:t>
      </w:r>
    </w:p>
    <w:p w14:paraId="020A0BE3" w14:textId="77777777" w:rsidR="00915909" w:rsidRPr="00E4462A" w:rsidRDefault="00915909" w:rsidP="008B22B1">
      <w:pPr>
        <w:spacing w:after="200" w:line="276" w:lineRule="auto"/>
        <w:jc w:val="both"/>
        <w:rPr>
          <w:b/>
          <w:lang w:val="en-GB"/>
        </w:rPr>
      </w:pPr>
      <w:r w:rsidRPr="00E4462A">
        <w:rPr>
          <w:b/>
          <w:lang w:val="en-GB"/>
        </w:rPr>
        <w:br w:type="page"/>
      </w:r>
    </w:p>
    <w:p w14:paraId="5676C76C" w14:textId="77777777" w:rsidR="00043193" w:rsidRPr="00E4462A" w:rsidRDefault="00043193" w:rsidP="008B22B1">
      <w:pPr>
        <w:spacing w:line="360" w:lineRule="auto"/>
        <w:jc w:val="both"/>
        <w:rPr>
          <w:b/>
          <w:lang w:val="en-GB"/>
        </w:rPr>
      </w:pPr>
      <w:r w:rsidRPr="00E4462A">
        <w:rPr>
          <w:b/>
          <w:lang w:val="en-GB"/>
        </w:rPr>
        <w:lastRenderedPageBreak/>
        <w:t xml:space="preserve">References: </w:t>
      </w:r>
    </w:p>
    <w:p w14:paraId="608E2FC5" w14:textId="77777777" w:rsidR="00C22E78" w:rsidRPr="00E4462A" w:rsidRDefault="00C22E78" w:rsidP="00C22E78">
      <w:pPr>
        <w:spacing w:line="360" w:lineRule="auto"/>
        <w:jc w:val="both"/>
        <w:rPr>
          <w:b/>
          <w:lang w:val="en-GB"/>
        </w:rPr>
      </w:pPr>
    </w:p>
    <w:p w14:paraId="49CB8297" w14:textId="77777777" w:rsidR="00C22E78" w:rsidRPr="00E4462A" w:rsidRDefault="00C22E78" w:rsidP="00C22E78">
      <w:pPr>
        <w:jc w:val="both"/>
        <w:rPr>
          <w:lang w:val="en-US"/>
        </w:rPr>
      </w:pPr>
      <w:r w:rsidRPr="00E4462A">
        <w:rPr>
          <w:lang w:val="en-US"/>
        </w:rPr>
        <w:t xml:space="preserve">Aluwihare, L. I. and Repeta, D. J.: A comparison of the chemical characteristics of oceanic DOM and extracellular DOM produced by marine algae, </w:t>
      </w:r>
      <w:r w:rsidRPr="00E4462A">
        <w:rPr>
          <w:i/>
          <w:lang w:val="en-US"/>
        </w:rPr>
        <w:t>Mar. Ecol. Prog. Ser.</w:t>
      </w:r>
      <w:r w:rsidRPr="00E4462A">
        <w:rPr>
          <w:lang w:val="en-US"/>
        </w:rPr>
        <w:t xml:space="preserve"> </w:t>
      </w:r>
      <w:r w:rsidRPr="00E4462A">
        <w:rPr>
          <w:b/>
          <w:lang w:val="en-US"/>
        </w:rPr>
        <w:t>186</w:t>
      </w:r>
      <w:r w:rsidRPr="00E4462A">
        <w:rPr>
          <w:lang w:val="en-US"/>
        </w:rPr>
        <w:t>, 105-117, 1999.</w:t>
      </w:r>
    </w:p>
    <w:p w14:paraId="1F5DC3E8" w14:textId="77777777" w:rsidR="00C22E78" w:rsidRPr="00E4462A" w:rsidRDefault="00C22E78" w:rsidP="00C22E78">
      <w:pPr>
        <w:jc w:val="both"/>
        <w:rPr>
          <w:lang w:val="en-US"/>
        </w:rPr>
      </w:pPr>
    </w:p>
    <w:p w14:paraId="6B316815" w14:textId="77777777" w:rsidR="00C22E78" w:rsidRPr="00E4462A" w:rsidRDefault="00C22E78" w:rsidP="00C22E78">
      <w:pPr>
        <w:jc w:val="both"/>
        <w:rPr>
          <w:lang w:val="en-US"/>
        </w:rPr>
      </w:pPr>
      <w:r w:rsidRPr="00E4462A">
        <w:rPr>
          <w:lang w:val="en-US"/>
        </w:rPr>
        <w:t xml:space="preserve">Amon, R. M. W. and Benner, R.: Bacterial utilization of different size classes of dissolved organic matter, </w:t>
      </w:r>
      <w:r w:rsidRPr="00E4462A">
        <w:rPr>
          <w:i/>
          <w:lang w:val="en-US"/>
        </w:rPr>
        <w:t>Limnol. Oceanogr</w:t>
      </w:r>
      <w:r w:rsidRPr="00E4462A">
        <w:rPr>
          <w:lang w:val="en-US"/>
        </w:rPr>
        <w:t xml:space="preserve">. </w:t>
      </w:r>
      <w:r w:rsidRPr="00E4462A">
        <w:rPr>
          <w:b/>
          <w:lang w:val="en-US"/>
        </w:rPr>
        <w:t>41</w:t>
      </w:r>
      <w:r w:rsidRPr="00E4462A">
        <w:rPr>
          <w:lang w:val="en-US"/>
        </w:rPr>
        <w:t>, 41-51, 1996a.</w:t>
      </w:r>
    </w:p>
    <w:p w14:paraId="6172CE6F" w14:textId="77777777" w:rsidR="00C22E78" w:rsidRPr="00E4462A" w:rsidRDefault="00C22E78" w:rsidP="00C22E78">
      <w:pPr>
        <w:jc w:val="both"/>
        <w:rPr>
          <w:lang w:val="en-US"/>
        </w:rPr>
      </w:pPr>
    </w:p>
    <w:p w14:paraId="0C666C3E" w14:textId="77777777" w:rsidR="00C22E78" w:rsidRPr="00E4462A" w:rsidRDefault="00C22E78" w:rsidP="00C22E78">
      <w:pPr>
        <w:jc w:val="both"/>
        <w:rPr>
          <w:lang w:val="en-US"/>
        </w:rPr>
      </w:pPr>
      <w:r w:rsidRPr="00E4462A">
        <w:rPr>
          <w:lang w:val="en-US"/>
        </w:rPr>
        <w:t xml:space="preserve">Amon, R. M. W. and Benner, R.: Photochemical and microbial consumption of dissolved organic carbon and dissolved oxygen in the Amazon River system, </w:t>
      </w:r>
      <w:r w:rsidRPr="00E4462A">
        <w:rPr>
          <w:i/>
          <w:noProof/>
          <w:lang w:val="en-US"/>
        </w:rPr>
        <w:t>Geochimica et Cosmochimica Acta</w:t>
      </w:r>
      <w:r w:rsidRPr="00E4462A">
        <w:rPr>
          <w:noProof/>
          <w:lang w:val="en-US"/>
        </w:rPr>
        <w:t xml:space="preserve">. </w:t>
      </w:r>
      <w:r w:rsidRPr="00E4462A">
        <w:rPr>
          <w:b/>
          <w:lang w:val="en-US"/>
        </w:rPr>
        <w:t>60</w:t>
      </w:r>
      <w:r w:rsidRPr="00E4462A">
        <w:rPr>
          <w:lang w:val="en-US"/>
        </w:rPr>
        <w:t>, 1783-1792, 1996b.</w:t>
      </w:r>
    </w:p>
    <w:p w14:paraId="505339EC" w14:textId="77777777" w:rsidR="00C22E78" w:rsidRPr="00E4462A" w:rsidRDefault="00C22E78" w:rsidP="00C22E78">
      <w:pPr>
        <w:jc w:val="both"/>
        <w:rPr>
          <w:lang w:val="en-US"/>
        </w:rPr>
      </w:pPr>
    </w:p>
    <w:p w14:paraId="23E203CE" w14:textId="77777777" w:rsidR="00C22E78" w:rsidRPr="00E4462A" w:rsidRDefault="00C22E78" w:rsidP="00646699">
      <w:pPr>
        <w:jc w:val="both"/>
        <w:rPr>
          <w:lang w:val="en-US"/>
        </w:rPr>
      </w:pPr>
      <w:r w:rsidRPr="00E4462A">
        <w:rPr>
          <w:lang w:val="en-US"/>
        </w:rPr>
        <w:t xml:space="preserve">Battin, T. J., Luyssaert, S., Kaplan, L. A., Aufdenkampe, A. K., Richter, A., Tranvik, L. J.: The boundless carbon cycle. </w:t>
      </w:r>
      <w:r w:rsidRPr="00E4462A">
        <w:rPr>
          <w:i/>
          <w:lang w:val="en-US"/>
        </w:rPr>
        <w:t>Nature Geoscience.</w:t>
      </w:r>
      <w:r w:rsidRPr="00E4462A">
        <w:rPr>
          <w:lang w:val="en-US"/>
        </w:rPr>
        <w:t xml:space="preserve"> </w:t>
      </w:r>
      <w:r w:rsidRPr="00E4462A">
        <w:rPr>
          <w:b/>
          <w:lang w:val="en-US"/>
        </w:rPr>
        <w:t>2</w:t>
      </w:r>
      <w:r w:rsidRPr="00E4462A">
        <w:rPr>
          <w:lang w:val="en-US"/>
        </w:rPr>
        <w:t>, 598-600, 2009.</w:t>
      </w:r>
    </w:p>
    <w:p w14:paraId="66661D7B" w14:textId="77777777" w:rsidR="00646699" w:rsidRPr="00E4462A" w:rsidRDefault="00646699" w:rsidP="00646699">
      <w:pPr>
        <w:jc w:val="both"/>
        <w:rPr>
          <w:lang w:val="en-US"/>
        </w:rPr>
      </w:pPr>
    </w:p>
    <w:p w14:paraId="64D2DE9A" w14:textId="77777777" w:rsidR="00646699" w:rsidRPr="00E4462A" w:rsidRDefault="00646699" w:rsidP="002B3CE9">
      <w:pPr>
        <w:jc w:val="both"/>
        <w:rPr>
          <w:lang w:val="en-GB"/>
        </w:rPr>
      </w:pPr>
      <w:r w:rsidRPr="00E4462A">
        <w:rPr>
          <w:lang w:val="en-GB"/>
        </w:rPr>
        <w:t xml:space="preserve">Bell, N. G. A., Michalchuk, A. A. L., Blackburn, J. W. T., Graham, M. C., and Uhrin, D.: Isotope-filtered 4D NMR spectroscopy for structure determination of humic substances, </w:t>
      </w:r>
      <w:r w:rsidRPr="00E4462A">
        <w:rPr>
          <w:i/>
          <w:lang w:val="en-GB"/>
        </w:rPr>
        <w:t>Angewandte Chemie</w:t>
      </w:r>
      <w:r w:rsidRPr="00E4462A">
        <w:rPr>
          <w:lang w:val="en-GB"/>
        </w:rPr>
        <w:t xml:space="preserve"> International Edition, </w:t>
      </w:r>
      <w:r w:rsidRPr="00E4462A">
        <w:rPr>
          <w:b/>
          <w:lang w:val="en-GB"/>
        </w:rPr>
        <w:t>54,</w:t>
      </w:r>
      <w:r w:rsidRPr="00E4462A">
        <w:rPr>
          <w:lang w:val="en-GB"/>
        </w:rPr>
        <w:t xml:space="preserve"> 1-5, 2015.</w:t>
      </w:r>
    </w:p>
    <w:p w14:paraId="30B8ACFC" w14:textId="77777777" w:rsidR="00C22E78" w:rsidRPr="00E4462A" w:rsidRDefault="00C22E78" w:rsidP="00646699">
      <w:pPr>
        <w:jc w:val="both"/>
        <w:rPr>
          <w:lang w:val="en-US"/>
        </w:rPr>
      </w:pPr>
    </w:p>
    <w:p w14:paraId="37D10D66" w14:textId="77777777" w:rsidR="00C22E78" w:rsidRPr="00E4462A" w:rsidRDefault="00C22E78" w:rsidP="00646699">
      <w:pPr>
        <w:jc w:val="both"/>
        <w:rPr>
          <w:lang w:val="en-US"/>
        </w:rPr>
      </w:pPr>
      <w:r w:rsidRPr="00E4462A">
        <w:rPr>
          <w:lang w:val="en-US"/>
        </w:rPr>
        <w:t xml:space="preserve">Blough, N. V. and Green, S. A.: Spectroscopic characterization and remote sensing on non-living organic matter. p. 23-45. </w:t>
      </w:r>
      <w:r w:rsidRPr="00E4462A">
        <w:rPr>
          <w:i/>
          <w:lang w:val="en-US"/>
        </w:rPr>
        <w:t>In</w:t>
      </w:r>
      <w:r w:rsidRPr="00E4462A">
        <w:rPr>
          <w:lang w:val="en-US"/>
        </w:rPr>
        <w:t>: R. G. Zepp and C. Sonntag (Eds.), The role of non-living organic matter on the earth’s carbon cycle. John Wiley and Sons. 2009.</w:t>
      </w:r>
    </w:p>
    <w:p w14:paraId="69FBD154" w14:textId="77777777" w:rsidR="00C22E78" w:rsidRPr="00E4462A" w:rsidRDefault="00C22E78" w:rsidP="00C22E78">
      <w:pPr>
        <w:jc w:val="both"/>
        <w:rPr>
          <w:lang w:val="en-US"/>
        </w:rPr>
      </w:pPr>
    </w:p>
    <w:p w14:paraId="7C9A6418" w14:textId="77777777" w:rsidR="00C22E78" w:rsidRPr="00E4462A" w:rsidRDefault="00C22E78" w:rsidP="00C22E78">
      <w:pPr>
        <w:jc w:val="both"/>
        <w:rPr>
          <w:shd w:val="clear" w:color="auto" w:fill="FFFFFF"/>
          <w:lang w:val="en-US"/>
        </w:rPr>
      </w:pPr>
      <w:r w:rsidRPr="00E4462A">
        <w:rPr>
          <w:lang w:val="en-US"/>
        </w:rPr>
        <w:t xml:space="preserve">Cawley, K., Wolski, P., Mladenov, N. and Jaffé, R.: </w:t>
      </w:r>
      <w:r w:rsidRPr="00E4462A">
        <w:rPr>
          <w:shd w:val="clear" w:color="auto" w:fill="FFFFFF"/>
          <w:lang w:val="en-US"/>
        </w:rPr>
        <w:t xml:space="preserve">Dissolved organic matter biogeochemistry along a transect of the Okavango Delta, Botswana. </w:t>
      </w:r>
      <w:r w:rsidRPr="00E4462A">
        <w:rPr>
          <w:i/>
          <w:shd w:val="clear" w:color="auto" w:fill="FFFFFF"/>
          <w:lang w:val="en-US"/>
        </w:rPr>
        <w:t>Wetlands</w:t>
      </w:r>
      <w:r w:rsidRPr="00E4462A">
        <w:rPr>
          <w:shd w:val="clear" w:color="auto" w:fill="FFFFFF"/>
          <w:lang w:val="en-US"/>
        </w:rPr>
        <w:t xml:space="preserve"> </w:t>
      </w:r>
      <w:r w:rsidRPr="00E4462A">
        <w:rPr>
          <w:b/>
          <w:color w:val="000000"/>
          <w:shd w:val="clear" w:color="auto" w:fill="FFFFFF"/>
          <w:lang w:val="en-US"/>
        </w:rPr>
        <w:t>32</w:t>
      </w:r>
      <w:r w:rsidRPr="00E4462A">
        <w:rPr>
          <w:color w:val="000000"/>
          <w:shd w:val="clear" w:color="auto" w:fill="FFFFFF"/>
          <w:lang w:val="en-US"/>
        </w:rPr>
        <w:t>, 475-486</w:t>
      </w:r>
      <w:r w:rsidRPr="00E4462A">
        <w:rPr>
          <w:b/>
          <w:color w:val="000000"/>
          <w:shd w:val="clear" w:color="auto" w:fill="FFFFFF"/>
          <w:lang w:val="en-US"/>
        </w:rPr>
        <w:t>,</w:t>
      </w:r>
      <w:r w:rsidRPr="00E4462A">
        <w:rPr>
          <w:lang w:val="en-US"/>
        </w:rPr>
        <w:t xml:space="preserve"> 2012.</w:t>
      </w:r>
      <w:r w:rsidRPr="00E4462A">
        <w:rPr>
          <w:b/>
          <w:color w:val="000000"/>
          <w:shd w:val="clear" w:color="auto" w:fill="FFFFFF"/>
          <w:lang w:val="en-US"/>
        </w:rPr>
        <w:t xml:space="preserve"> </w:t>
      </w:r>
    </w:p>
    <w:p w14:paraId="49FEF217" w14:textId="77777777" w:rsidR="00C22E78" w:rsidRPr="00E4462A" w:rsidRDefault="00C22E78" w:rsidP="00C22E78">
      <w:pPr>
        <w:jc w:val="both"/>
        <w:rPr>
          <w:lang w:val="en-US"/>
        </w:rPr>
      </w:pPr>
    </w:p>
    <w:p w14:paraId="549A427B" w14:textId="77777777" w:rsidR="00C22E78" w:rsidRPr="00E4462A" w:rsidRDefault="00C22E78" w:rsidP="00C22E78">
      <w:pPr>
        <w:autoSpaceDE w:val="0"/>
        <w:autoSpaceDN w:val="0"/>
        <w:adjustRightInd w:val="0"/>
        <w:jc w:val="both"/>
        <w:rPr>
          <w:bCs/>
          <w:lang w:val="en-US"/>
        </w:rPr>
      </w:pPr>
      <w:r w:rsidRPr="00E4462A">
        <w:rPr>
          <w:lang w:val="en-US"/>
        </w:rPr>
        <w:t xml:space="preserve">Chen, M. and </w:t>
      </w:r>
      <w:r w:rsidRPr="00E4462A">
        <w:rPr>
          <w:bCs/>
          <w:lang w:val="en-US"/>
        </w:rPr>
        <w:t>Jaffé, R.:</w:t>
      </w:r>
      <w:r w:rsidRPr="00E4462A">
        <w:rPr>
          <w:b/>
          <w:bCs/>
          <w:lang w:val="en-US"/>
        </w:rPr>
        <w:t xml:space="preserve"> </w:t>
      </w:r>
      <w:r w:rsidRPr="00E4462A">
        <w:rPr>
          <w:lang w:val="en-US"/>
        </w:rPr>
        <w:t xml:space="preserve">Photo- and bio-reactivity patterns of dissolved organic matter from biomass and soil leachates and surface waters in a subtropical wetland, </w:t>
      </w:r>
      <w:r w:rsidRPr="00E4462A">
        <w:rPr>
          <w:i/>
          <w:iCs/>
          <w:lang w:val="en-US"/>
        </w:rPr>
        <w:t xml:space="preserve">Water Research </w:t>
      </w:r>
      <w:r w:rsidRPr="00E4462A">
        <w:rPr>
          <w:b/>
          <w:lang w:val="en-US"/>
        </w:rPr>
        <w:t>61</w:t>
      </w:r>
      <w:r w:rsidRPr="00E4462A">
        <w:rPr>
          <w:lang w:val="en-US"/>
        </w:rPr>
        <w:t>, 181-190, 2014.</w:t>
      </w:r>
    </w:p>
    <w:p w14:paraId="3CF558A1" w14:textId="77777777" w:rsidR="00C22E78" w:rsidRPr="00E4462A" w:rsidRDefault="00C22E78" w:rsidP="00C22E78">
      <w:pPr>
        <w:jc w:val="both"/>
        <w:rPr>
          <w:lang w:val="en-GB"/>
        </w:rPr>
      </w:pPr>
    </w:p>
    <w:p w14:paraId="2B55DA34" w14:textId="77777777" w:rsidR="00C22E78" w:rsidRPr="00E4462A" w:rsidRDefault="00C22E78" w:rsidP="00C22E78">
      <w:pPr>
        <w:jc w:val="both"/>
        <w:rPr>
          <w:lang w:val="en-US"/>
        </w:rPr>
      </w:pPr>
      <w:r w:rsidRPr="00E4462A">
        <w:rPr>
          <w:lang w:val="en-US"/>
        </w:rPr>
        <w:t xml:space="preserve">Chen, M., Price, R. M., Yamashita, Y. and Jaffé, R.: Comparative study of dissolved organic matter from groundwater and surface water in the Florida coastal Everglades using multi-dimensional spectrofluorometry combined with multivariate statistics, </w:t>
      </w:r>
      <w:r w:rsidRPr="00E4462A">
        <w:rPr>
          <w:i/>
          <w:lang w:val="en-US"/>
        </w:rPr>
        <w:t>Applied Geochemistry</w:t>
      </w:r>
      <w:r w:rsidRPr="00E4462A">
        <w:rPr>
          <w:lang w:val="en-US"/>
        </w:rPr>
        <w:t xml:space="preserve"> </w:t>
      </w:r>
      <w:r w:rsidRPr="00E4462A">
        <w:rPr>
          <w:b/>
          <w:lang w:val="en-US"/>
        </w:rPr>
        <w:t>25</w:t>
      </w:r>
      <w:r w:rsidRPr="00E4462A">
        <w:rPr>
          <w:lang w:val="en-US"/>
        </w:rPr>
        <w:t>, 872-880, 2010.</w:t>
      </w:r>
    </w:p>
    <w:p w14:paraId="17A0BBD5" w14:textId="77777777" w:rsidR="00C22E78" w:rsidRPr="00E4462A" w:rsidRDefault="00C22E78" w:rsidP="00C22E78">
      <w:pPr>
        <w:jc w:val="both"/>
        <w:rPr>
          <w:lang w:val="en-US"/>
        </w:rPr>
      </w:pPr>
    </w:p>
    <w:p w14:paraId="0C52A409" w14:textId="77777777" w:rsidR="00C22E78" w:rsidRPr="00E4462A" w:rsidRDefault="00C22E78" w:rsidP="00C22E78">
      <w:pPr>
        <w:jc w:val="both"/>
        <w:rPr>
          <w:bCs/>
          <w:lang w:val="en-US"/>
        </w:rPr>
      </w:pPr>
      <w:r w:rsidRPr="00E4462A">
        <w:rPr>
          <w:bCs/>
          <w:lang w:val="en-US"/>
        </w:rPr>
        <w:t>Chen, M., Maie, N., Parish, K. and Jaffé, R.:</w:t>
      </w:r>
      <w:r w:rsidRPr="00E4462A">
        <w:rPr>
          <w:lang w:val="en-US"/>
        </w:rPr>
        <w:t xml:space="preserve"> Spatial and temporal variability of dissolved organic matter quantity and composition in an oilgotrophic subtropical coastal wetland, </w:t>
      </w:r>
      <w:r w:rsidRPr="00E4462A">
        <w:rPr>
          <w:i/>
          <w:lang w:val="en-US"/>
        </w:rPr>
        <w:t>Biogeochemistry</w:t>
      </w:r>
      <w:r w:rsidRPr="00E4462A">
        <w:rPr>
          <w:lang w:val="en-US"/>
        </w:rPr>
        <w:t xml:space="preserve"> </w:t>
      </w:r>
      <w:r w:rsidRPr="00E4462A">
        <w:rPr>
          <w:b/>
          <w:bCs/>
          <w:lang w:val="en-US"/>
        </w:rPr>
        <w:t>115</w:t>
      </w:r>
      <w:r w:rsidRPr="00E4462A">
        <w:rPr>
          <w:bCs/>
          <w:lang w:val="en-US"/>
        </w:rPr>
        <w:t>, 167-183,</w:t>
      </w:r>
      <w:r w:rsidRPr="00E4462A">
        <w:rPr>
          <w:lang w:val="en-US"/>
        </w:rPr>
        <w:t xml:space="preserve"> 2013.</w:t>
      </w:r>
    </w:p>
    <w:p w14:paraId="596BB5F3" w14:textId="77777777" w:rsidR="00C22E78" w:rsidRPr="00E4462A" w:rsidRDefault="00C22E78" w:rsidP="00C22E78">
      <w:pPr>
        <w:jc w:val="both"/>
        <w:rPr>
          <w:lang w:val="en-US"/>
        </w:rPr>
      </w:pPr>
    </w:p>
    <w:p w14:paraId="14300C76" w14:textId="77777777" w:rsidR="00C22E78" w:rsidRPr="00E4462A" w:rsidRDefault="00C22E78" w:rsidP="00C22E78">
      <w:pPr>
        <w:rPr>
          <w:color w:val="333333"/>
          <w:lang w:val="en-US"/>
        </w:rPr>
      </w:pPr>
      <w:r w:rsidRPr="00E4462A">
        <w:rPr>
          <w:color w:val="333333"/>
          <w:lang w:val="en-US"/>
        </w:rPr>
        <w:t xml:space="preserve">D'Andrilli, J., Dittmar, T., Koch, B. P., Purcell, J. M., Marshall, A. G., Cooper, W. T.:  Comprehensive Characterization of Marine Dissolved Organic Matter by FT-ICR Mass Spectrometry with Electrospray and Atmospheric Pressure Photoionization, </w:t>
      </w:r>
      <w:r w:rsidRPr="00E4462A">
        <w:rPr>
          <w:i/>
          <w:iCs/>
          <w:color w:val="333333"/>
          <w:lang w:val="en-US"/>
        </w:rPr>
        <w:t>Rap. Comm. Mass Spectrom</w:t>
      </w:r>
      <w:r w:rsidRPr="00E4462A">
        <w:rPr>
          <w:color w:val="333333"/>
          <w:lang w:val="en-US"/>
        </w:rPr>
        <w:t xml:space="preserve">. </w:t>
      </w:r>
      <w:r w:rsidRPr="00E4462A">
        <w:rPr>
          <w:b/>
          <w:bCs/>
          <w:color w:val="333333"/>
          <w:lang w:val="en-US"/>
        </w:rPr>
        <w:t>24</w:t>
      </w:r>
      <w:r w:rsidRPr="00E4462A">
        <w:rPr>
          <w:color w:val="333333"/>
          <w:lang w:val="en-US"/>
        </w:rPr>
        <w:t>, 643-650, 2010.</w:t>
      </w:r>
    </w:p>
    <w:p w14:paraId="125AD4E6" w14:textId="77777777" w:rsidR="00C22E78" w:rsidRPr="00E4462A" w:rsidRDefault="00C22E78" w:rsidP="00C22E78">
      <w:pPr>
        <w:jc w:val="both"/>
        <w:rPr>
          <w:lang w:val="en-US"/>
        </w:rPr>
      </w:pPr>
    </w:p>
    <w:p w14:paraId="41A640B7" w14:textId="77777777" w:rsidR="00C22E78" w:rsidRPr="00E4462A" w:rsidRDefault="00C22E78" w:rsidP="00C22E78">
      <w:pPr>
        <w:jc w:val="both"/>
        <w:rPr>
          <w:lang w:val="en-US"/>
        </w:rPr>
      </w:pPr>
      <w:r w:rsidRPr="00E4462A">
        <w:rPr>
          <w:lang w:val="en-US"/>
        </w:rPr>
        <w:lastRenderedPageBreak/>
        <w:t xml:space="preserve">Ding, Y., Cawley, K., Nunes, C., and Jaffé, R., Environmental dynamics of dissolved black carbon in wetlands, </w:t>
      </w:r>
      <w:r w:rsidRPr="00E4462A">
        <w:rPr>
          <w:i/>
          <w:lang w:val="en-US"/>
        </w:rPr>
        <w:t>Biogeochemistry</w:t>
      </w:r>
      <w:r w:rsidRPr="00E4462A">
        <w:rPr>
          <w:lang w:val="en-US"/>
        </w:rPr>
        <w:t xml:space="preserve"> </w:t>
      </w:r>
      <w:r w:rsidRPr="00E4462A">
        <w:rPr>
          <w:b/>
          <w:lang w:val="en-US"/>
        </w:rPr>
        <w:t>119</w:t>
      </w:r>
      <w:r w:rsidRPr="00E4462A">
        <w:rPr>
          <w:lang w:val="en-US"/>
        </w:rPr>
        <w:t>, 259-273, 2014a.</w:t>
      </w:r>
    </w:p>
    <w:p w14:paraId="220D790F" w14:textId="77777777" w:rsidR="00C22E78" w:rsidRPr="00E4462A" w:rsidRDefault="00C22E78" w:rsidP="00C22E78">
      <w:pPr>
        <w:jc w:val="both"/>
        <w:rPr>
          <w:lang w:val="en-US"/>
        </w:rPr>
      </w:pPr>
    </w:p>
    <w:p w14:paraId="79EA0059" w14:textId="77777777" w:rsidR="00C22E78" w:rsidRPr="00E4462A" w:rsidRDefault="00C22E78" w:rsidP="00C22E78">
      <w:pPr>
        <w:jc w:val="both"/>
        <w:rPr>
          <w:lang w:val="en-US"/>
        </w:rPr>
      </w:pPr>
      <w:r w:rsidRPr="00E4462A">
        <w:rPr>
          <w:lang w:val="en-US"/>
        </w:rPr>
        <w:t xml:space="preserve">Ding, Y., Watanabe, A. and Jaffé, R.: Dissolved black nitrogen (DBN) in freshwater environments: Source and land to ocean flux assessment, </w:t>
      </w:r>
      <w:r w:rsidRPr="00E4462A">
        <w:rPr>
          <w:i/>
          <w:lang w:val="en-US"/>
        </w:rPr>
        <w:t>Organic Geochemistry</w:t>
      </w:r>
      <w:r w:rsidRPr="00E4462A">
        <w:rPr>
          <w:lang w:val="en-US"/>
        </w:rPr>
        <w:t xml:space="preserve"> </w:t>
      </w:r>
      <w:r w:rsidRPr="00E4462A">
        <w:rPr>
          <w:b/>
          <w:lang w:val="en-US"/>
        </w:rPr>
        <w:t>68</w:t>
      </w:r>
      <w:r w:rsidRPr="00E4462A">
        <w:rPr>
          <w:lang w:val="en-US"/>
        </w:rPr>
        <w:t>, 1-4, 2014b.</w:t>
      </w:r>
    </w:p>
    <w:p w14:paraId="211C569D" w14:textId="77777777" w:rsidR="00C22E78" w:rsidRPr="00E4462A" w:rsidRDefault="00C22E78" w:rsidP="00C22E78">
      <w:pPr>
        <w:jc w:val="both"/>
        <w:rPr>
          <w:lang w:val="en-GB"/>
        </w:rPr>
      </w:pPr>
    </w:p>
    <w:p w14:paraId="57337750" w14:textId="77777777" w:rsidR="00C22E78" w:rsidRPr="00E4462A" w:rsidRDefault="00C22E78" w:rsidP="00C22E78">
      <w:pPr>
        <w:autoSpaceDE w:val="0"/>
        <w:autoSpaceDN w:val="0"/>
        <w:adjustRightInd w:val="0"/>
        <w:rPr>
          <w:color w:val="000000"/>
          <w:lang w:val="en-US"/>
        </w:rPr>
      </w:pPr>
      <w:r w:rsidRPr="00E4462A">
        <w:rPr>
          <w:color w:val="000000"/>
          <w:lang w:val="en-US"/>
        </w:rPr>
        <w:t xml:space="preserve">Dittmar, T., Hertkorn, N. and Katner, G.: A simple and efficient method for the solid-phase extraction of dissolved organic matter (SPE-DOM) from seawater, </w:t>
      </w:r>
      <w:r w:rsidRPr="00E4462A">
        <w:rPr>
          <w:i/>
          <w:color w:val="000000"/>
          <w:lang w:val="en-US"/>
        </w:rPr>
        <w:t>Limnol. Oceanogr.</w:t>
      </w:r>
      <w:r w:rsidRPr="00E4462A">
        <w:rPr>
          <w:color w:val="000000"/>
          <w:lang w:val="en-US"/>
        </w:rPr>
        <w:t xml:space="preserve">, Methods </w:t>
      </w:r>
      <w:r w:rsidRPr="00E4462A">
        <w:rPr>
          <w:b/>
          <w:color w:val="000000"/>
          <w:lang w:val="en-US"/>
        </w:rPr>
        <w:t>6</w:t>
      </w:r>
      <w:r w:rsidRPr="00E4462A">
        <w:rPr>
          <w:color w:val="000000"/>
          <w:lang w:val="en-US"/>
        </w:rPr>
        <w:t>, 230–235, 2008.</w:t>
      </w:r>
    </w:p>
    <w:p w14:paraId="6C750D54" w14:textId="77777777" w:rsidR="00C22E78" w:rsidRPr="00E4462A" w:rsidRDefault="00C22E78" w:rsidP="00C22E78">
      <w:pPr>
        <w:jc w:val="both"/>
        <w:rPr>
          <w:lang w:val="en-US"/>
        </w:rPr>
      </w:pPr>
    </w:p>
    <w:p w14:paraId="618D447A" w14:textId="77777777" w:rsidR="00C22E78" w:rsidRPr="00E4462A" w:rsidRDefault="00C22E78" w:rsidP="00C22E78">
      <w:pPr>
        <w:jc w:val="both"/>
        <w:rPr>
          <w:noProof/>
          <w:lang w:val="en-US"/>
        </w:rPr>
      </w:pPr>
      <w:r w:rsidRPr="00E4462A">
        <w:rPr>
          <w:noProof/>
          <w:lang w:val="en-US"/>
        </w:rPr>
        <w:t>Einsiedl, F., Hertkorn, N., Wolf, M., Frommberger, M., Schmitt-Kopplin, P. and Koch, B. P.: Rapid biotic molecular transformat</w:t>
      </w:r>
      <w:r w:rsidRPr="00E4462A">
        <w:rPr>
          <w:noProof/>
          <w:lang w:val="en-GB"/>
        </w:rPr>
        <w:t xml:space="preserve">ion of fulvic acids in a karst aquifer, </w:t>
      </w:r>
      <w:r w:rsidRPr="00E4462A">
        <w:rPr>
          <w:i/>
          <w:noProof/>
          <w:lang w:val="en-US"/>
        </w:rPr>
        <w:t>Geochimica et Cosmochimica Acta</w:t>
      </w:r>
      <w:r w:rsidRPr="00E4462A">
        <w:rPr>
          <w:noProof/>
          <w:lang w:val="en-US"/>
        </w:rPr>
        <w:t xml:space="preserve"> </w:t>
      </w:r>
      <w:r w:rsidRPr="00E4462A">
        <w:rPr>
          <w:b/>
          <w:noProof/>
          <w:lang w:val="en-US"/>
        </w:rPr>
        <w:t>71</w:t>
      </w:r>
      <w:r w:rsidRPr="00E4462A">
        <w:rPr>
          <w:noProof/>
          <w:lang w:val="en-US"/>
        </w:rPr>
        <w:t>, 5474-5482, 2007.</w:t>
      </w:r>
    </w:p>
    <w:p w14:paraId="0388EAFE" w14:textId="77777777" w:rsidR="00C22E78" w:rsidRPr="00E4462A" w:rsidRDefault="00C22E78" w:rsidP="00C22E78">
      <w:pPr>
        <w:jc w:val="both"/>
        <w:rPr>
          <w:lang w:val="en-GB"/>
        </w:rPr>
      </w:pPr>
    </w:p>
    <w:p w14:paraId="36ABD09D" w14:textId="77777777" w:rsidR="00C22E78" w:rsidRPr="00E4462A" w:rsidRDefault="00C22E78" w:rsidP="00C22E78">
      <w:pPr>
        <w:jc w:val="both"/>
        <w:rPr>
          <w:lang w:val="en-US"/>
        </w:rPr>
      </w:pPr>
      <w:r w:rsidRPr="00E4462A">
        <w:rPr>
          <w:lang w:val="en-US"/>
        </w:rPr>
        <w:t xml:space="preserve">Ellery, W. N., McCarthy, T. S. and Smith, N. D.: Vegetation, hydrology and sedimentation patterns on the major distributary system of the Okavango Delta, Botswana, control of a river system by vegetation, </w:t>
      </w:r>
      <w:r w:rsidRPr="00E4462A">
        <w:rPr>
          <w:i/>
          <w:lang w:val="en-US"/>
        </w:rPr>
        <w:t>Wetlands</w:t>
      </w:r>
      <w:r w:rsidRPr="00E4462A">
        <w:rPr>
          <w:lang w:val="en-US"/>
        </w:rPr>
        <w:t xml:space="preserve"> </w:t>
      </w:r>
      <w:r w:rsidRPr="00E4462A">
        <w:rPr>
          <w:b/>
          <w:lang w:val="en-US"/>
        </w:rPr>
        <w:t>23</w:t>
      </w:r>
      <w:r w:rsidRPr="00E4462A">
        <w:rPr>
          <w:lang w:val="en-US"/>
        </w:rPr>
        <w:t>, 357-375, 2003.</w:t>
      </w:r>
    </w:p>
    <w:p w14:paraId="786EF5AB" w14:textId="77777777" w:rsidR="00C22E78" w:rsidRPr="00E4462A" w:rsidRDefault="00C22E78" w:rsidP="00C22E78">
      <w:pPr>
        <w:jc w:val="both"/>
        <w:rPr>
          <w:lang w:val="en-GB"/>
        </w:rPr>
      </w:pPr>
    </w:p>
    <w:p w14:paraId="53D38AC5" w14:textId="77777777" w:rsidR="00C22E78" w:rsidRPr="00E4462A" w:rsidRDefault="00C22E78" w:rsidP="00C22E78">
      <w:pPr>
        <w:autoSpaceDE w:val="0"/>
        <w:autoSpaceDN w:val="0"/>
        <w:adjustRightInd w:val="0"/>
        <w:jc w:val="both"/>
      </w:pPr>
      <w:r w:rsidRPr="00E4462A">
        <w:rPr>
          <w:lang w:val="en-US"/>
        </w:rPr>
        <w:t xml:space="preserve">Fellman, J. B., Hood, E. and Spencer, R. G. M.: Fluorescence spectroscopy opens new windows into dissolved organic matter dynamics in freshwater ecosystems: a review. </w:t>
      </w:r>
      <w:r w:rsidRPr="00E4462A">
        <w:rPr>
          <w:i/>
        </w:rPr>
        <w:t>Limnology Oceanography</w:t>
      </w:r>
      <w:r w:rsidRPr="00E4462A">
        <w:t xml:space="preserve"> </w:t>
      </w:r>
      <w:r w:rsidRPr="00E4462A">
        <w:rPr>
          <w:b/>
        </w:rPr>
        <w:t>55</w:t>
      </w:r>
      <w:r w:rsidRPr="00E4462A">
        <w:t>, 2452–2462. 2010.</w:t>
      </w:r>
    </w:p>
    <w:p w14:paraId="757F85E6" w14:textId="77777777" w:rsidR="00C22E78" w:rsidRPr="00E4462A" w:rsidRDefault="00C22E78" w:rsidP="00C22E78">
      <w:pPr>
        <w:autoSpaceDE w:val="0"/>
        <w:autoSpaceDN w:val="0"/>
        <w:adjustRightInd w:val="0"/>
        <w:jc w:val="both"/>
      </w:pPr>
    </w:p>
    <w:p w14:paraId="3840BCB2" w14:textId="77777777" w:rsidR="00C22E78" w:rsidRPr="00E4462A" w:rsidRDefault="00C22E78" w:rsidP="00C22E78">
      <w:pPr>
        <w:autoSpaceDE w:val="0"/>
        <w:autoSpaceDN w:val="0"/>
        <w:adjustRightInd w:val="0"/>
        <w:jc w:val="both"/>
        <w:rPr>
          <w:lang w:val="en-US"/>
        </w:rPr>
      </w:pPr>
      <w:r w:rsidRPr="00E4462A">
        <w:rPr>
          <w:lang w:val="en-US"/>
        </w:rPr>
        <w:t xml:space="preserve">Flerus, R., Koch, B. P., Schmitt-Kopplin, P., Witt, M. and Kattner, G.: Molecular level investigation of reactions between dissolved organic matter and extraction solvents using FT-ICR MS, </w:t>
      </w:r>
      <w:r w:rsidRPr="00E4462A">
        <w:rPr>
          <w:i/>
          <w:lang w:val="en-US"/>
        </w:rPr>
        <w:t>Marine Chemistry</w:t>
      </w:r>
      <w:r w:rsidRPr="00E4462A">
        <w:rPr>
          <w:lang w:val="en-US"/>
        </w:rPr>
        <w:t xml:space="preserve"> </w:t>
      </w:r>
      <w:r w:rsidRPr="00E4462A">
        <w:rPr>
          <w:b/>
          <w:lang w:val="en-US"/>
        </w:rPr>
        <w:t>124</w:t>
      </w:r>
      <w:r w:rsidRPr="00E4462A">
        <w:rPr>
          <w:lang w:val="en-US"/>
        </w:rPr>
        <w:t>, 100-107, 2011.</w:t>
      </w:r>
    </w:p>
    <w:p w14:paraId="2693C11F" w14:textId="77777777" w:rsidR="00C22E78" w:rsidRPr="00E4462A" w:rsidRDefault="00C22E78" w:rsidP="00C22E78">
      <w:pPr>
        <w:jc w:val="both"/>
        <w:rPr>
          <w:lang w:val="en-US"/>
        </w:rPr>
      </w:pPr>
    </w:p>
    <w:p w14:paraId="0D648E8B" w14:textId="77777777" w:rsidR="00C22E78" w:rsidRPr="00E4462A" w:rsidRDefault="00C22E78" w:rsidP="00C22E78">
      <w:pPr>
        <w:autoSpaceDE w:val="0"/>
        <w:autoSpaceDN w:val="0"/>
        <w:adjustRightInd w:val="0"/>
        <w:jc w:val="both"/>
        <w:rPr>
          <w:rFonts w:eastAsia="Arial Unicode MS"/>
          <w:bCs/>
          <w:kern w:val="36"/>
          <w:lang w:val="en-US"/>
        </w:rPr>
      </w:pPr>
      <w:r w:rsidRPr="00E4462A">
        <w:rPr>
          <w:rFonts w:eastAsia="Arial Unicode MS"/>
          <w:bCs/>
          <w:kern w:val="36"/>
          <w:lang w:val="en-US"/>
        </w:rPr>
        <w:t xml:space="preserve">Foden, T., Sivyer, D. B., Mills, D. K. and Devlin, M. J.: Spatial and temporal distribution of chromophoric dissolved organic matter (CDOM) fluorescence and its contribution to light attenuation in UK waterbodies, </w:t>
      </w:r>
      <w:r w:rsidRPr="00E4462A">
        <w:rPr>
          <w:rFonts w:eastAsia="Arial Unicode MS"/>
          <w:bCs/>
          <w:i/>
          <w:kern w:val="36"/>
          <w:lang w:val="en-US"/>
        </w:rPr>
        <w:t>Est. Coastal Shelf Sci.</w:t>
      </w:r>
      <w:r w:rsidRPr="00E4462A">
        <w:rPr>
          <w:rFonts w:eastAsia="Arial Unicode MS"/>
          <w:bCs/>
          <w:kern w:val="36"/>
          <w:lang w:val="en-US"/>
        </w:rPr>
        <w:t xml:space="preserve"> </w:t>
      </w:r>
      <w:r w:rsidRPr="00E4462A">
        <w:rPr>
          <w:rFonts w:eastAsia="Arial Unicode MS"/>
          <w:b/>
          <w:bCs/>
          <w:kern w:val="36"/>
          <w:lang w:val="en-US"/>
        </w:rPr>
        <w:t>79</w:t>
      </w:r>
      <w:r w:rsidRPr="00E4462A">
        <w:rPr>
          <w:rFonts w:eastAsia="Arial Unicode MS"/>
          <w:bCs/>
          <w:kern w:val="36"/>
          <w:lang w:val="en-US"/>
        </w:rPr>
        <w:t>, 707-717, 2008.</w:t>
      </w:r>
    </w:p>
    <w:p w14:paraId="65BD1A86" w14:textId="77777777" w:rsidR="00C22E78" w:rsidRPr="00E4462A" w:rsidRDefault="00C22E78" w:rsidP="00C22E78">
      <w:pPr>
        <w:autoSpaceDE w:val="0"/>
        <w:autoSpaceDN w:val="0"/>
        <w:adjustRightInd w:val="0"/>
        <w:jc w:val="both"/>
        <w:rPr>
          <w:rFonts w:eastAsia="Arial Unicode MS"/>
          <w:bCs/>
          <w:kern w:val="36"/>
          <w:lang w:val="en-US"/>
        </w:rPr>
      </w:pPr>
    </w:p>
    <w:p w14:paraId="22AF7114" w14:textId="77777777" w:rsidR="00C22E78" w:rsidRPr="00E4462A" w:rsidRDefault="00C22E78" w:rsidP="00C22E78">
      <w:pPr>
        <w:autoSpaceDE w:val="0"/>
        <w:autoSpaceDN w:val="0"/>
        <w:adjustRightInd w:val="0"/>
        <w:jc w:val="both"/>
        <w:rPr>
          <w:lang w:val="en-US"/>
        </w:rPr>
      </w:pPr>
      <w:r w:rsidRPr="00E4462A">
        <w:rPr>
          <w:lang w:val="en-US"/>
        </w:rPr>
        <w:t xml:space="preserve">Gieske, A.: Modelling outflow from the Jao/Boro river system in the Okavango delta, Botswana, </w:t>
      </w:r>
      <w:r w:rsidRPr="00E4462A">
        <w:rPr>
          <w:i/>
          <w:lang w:val="en-US"/>
        </w:rPr>
        <w:t>Journal of Hydrology</w:t>
      </w:r>
      <w:r w:rsidRPr="00E4462A">
        <w:rPr>
          <w:lang w:val="en-US"/>
        </w:rPr>
        <w:t xml:space="preserve"> </w:t>
      </w:r>
      <w:r w:rsidRPr="00E4462A">
        <w:rPr>
          <w:b/>
          <w:lang w:val="en-US"/>
        </w:rPr>
        <w:t>193</w:t>
      </w:r>
      <w:r w:rsidRPr="00E4462A">
        <w:rPr>
          <w:lang w:val="en-US"/>
        </w:rPr>
        <w:t>, 214–239,</w:t>
      </w:r>
      <w:r w:rsidRPr="00E4462A">
        <w:rPr>
          <w:rFonts w:eastAsia="Arial Unicode MS"/>
          <w:bCs/>
          <w:kern w:val="36"/>
          <w:lang w:val="en-US"/>
        </w:rPr>
        <w:t xml:space="preserve"> 1997.</w:t>
      </w:r>
    </w:p>
    <w:p w14:paraId="3F91E368" w14:textId="77777777" w:rsidR="00C22E78" w:rsidRPr="00E4462A" w:rsidRDefault="00C22E78" w:rsidP="00C22E78">
      <w:pPr>
        <w:autoSpaceDE w:val="0"/>
        <w:autoSpaceDN w:val="0"/>
        <w:adjustRightInd w:val="0"/>
        <w:jc w:val="both"/>
        <w:rPr>
          <w:lang w:val="en-US"/>
        </w:rPr>
      </w:pPr>
    </w:p>
    <w:p w14:paraId="5ACDF023" w14:textId="77777777" w:rsidR="00C22E78" w:rsidRPr="00E4462A" w:rsidRDefault="00C22E78" w:rsidP="00C22E78">
      <w:pPr>
        <w:autoSpaceDE w:val="0"/>
        <w:autoSpaceDN w:val="0"/>
        <w:adjustRightInd w:val="0"/>
        <w:jc w:val="both"/>
        <w:rPr>
          <w:lang w:val="en-US"/>
        </w:rPr>
      </w:pPr>
      <w:r w:rsidRPr="00E4462A">
        <w:rPr>
          <w:lang w:val="en-US"/>
        </w:rPr>
        <w:t xml:space="preserve">Gumbricht, T., McCarthy, J. and McCarthy, T. S.: Channels, wetlands and islands in the Okavango Delta, Botswana, and their relation to hydrological and sedimentological processes, </w:t>
      </w:r>
      <w:r w:rsidRPr="00E4462A">
        <w:rPr>
          <w:i/>
          <w:lang w:val="en-US"/>
        </w:rPr>
        <w:t>Earth Surface Processes and Landforms</w:t>
      </w:r>
      <w:r w:rsidRPr="00E4462A">
        <w:rPr>
          <w:lang w:val="en-US"/>
        </w:rPr>
        <w:t xml:space="preserve"> </w:t>
      </w:r>
      <w:r w:rsidRPr="00E4462A">
        <w:rPr>
          <w:b/>
          <w:lang w:val="en-US"/>
        </w:rPr>
        <w:t>29</w:t>
      </w:r>
      <w:r w:rsidRPr="00E4462A">
        <w:rPr>
          <w:lang w:val="en-US"/>
        </w:rPr>
        <w:t>,15–29, 2004.</w:t>
      </w:r>
    </w:p>
    <w:p w14:paraId="29824303" w14:textId="77777777" w:rsidR="00C22E78" w:rsidRPr="00E4462A" w:rsidRDefault="00C22E78" w:rsidP="00C22E78">
      <w:pPr>
        <w:jc w:val="both"/>
        <w:rPr>
          <w:lang w:val="en-GB"/>
        </w:rPr>
      </w:pPr>
    </w:p>
    <w:p w14:paraId="05518AD5" w14:textId="77777777" w:rsidR="00C22E78" w:rsidRPr="00E4462A" w:rsidRDefault="00C22E78" w:rsidP="00C22E78">
      <w:pPr>
        <w:autoSpaceDE w:val="0"/>
        <w:autoSpaceDN w:val="0"/>
        <w:adjustRightInd w:val="0"/>
        <w:jc w:val="both"/>
        <w:rPr>
          <w:lang w:val="en-US"/>
        </w:rPr>
      </w:pPr>
      <w:r w:rsidRPr="00E4462A">
        <w:rPr>
          <w:lang w:val="en-US"/>
        </w:rPr>
        <w:t xml:space="preserve">Hedges, J. I., Eglinton, G., Hatcher, P. G., Kirchman, D. L., Arnosti, C., Derenne, S., Evershed, R. P., Kogel-Knabner, I., de Leeuw, J.W., Littke, R., Michaelis, W. and Rullkotter, J.: The molecularly-uncharacterized component of nonliving organic matter in natural environments. </w:t>
      </w:r>
      <w:r w:rsidRPr="00E4462A">
        <w:rPr>
          <w:i/>
          <w:lang w:val="en-US"/>
        </w:rPr>
        <w:t>Organic Geochemistry</w:t>
      </w:r>
      <w:r w:rsidRPr="00E4462A">
        <w:rPr>
          <w:lang w:val="en-US"/>
        </w:rPr>
        <w:t xml:space="preserve"> </w:t>
      </w:r>
      <w:r w:rsidRPr="00E4462A">
        <w:rPr>
          <w:b/>
          <w:lang w:val="en-US"/>
        </w:rPr>
        <w:t>31</w:t>
      </w:r>
      <w:r w:rsidRPr="00E4462A">
        <w:rPr>
          <w:lang w:val="en-US"/>
        </w:rPr>
        <w:t>, 945–958, 2000.</w:t>
      </w:r>
    </w:p>
    <w:p w14:paraId="2447BE75" w14:textId="77777777" w:rsidR="00C22E78" w:rsidRPr="00E4462A" w:rsidRDefault="00C22E78" w:rsidP="00C22E78">
      <w:pPr>
        <w:jc w:val="both"/>
        <w:rPr>
          <w:lang w:val="en-GB"/>
        </w:rPr>
      </w:pPr>
    </w:p>
    <w:p w14:paraId="6F62675E" w14:textId="77777777" w:rsidR="00C22E78" w:rsidRPr="00E4462A" w:rsidRDefault="00C22E78" w:rsidP="00C22E78">
      <w:pPr>
        <w:autoSpaceDE w:val="0"/>
        <w:autoSpaceDN w:val="0"/>
        <w:adjustRightInd w:val="0"/>
        <w:jc w:val="both"/>
        <w:rPr>
          <w:lang w:val="en-US"/>
        </w:rPr>
      </w:pPr>
      <w:r w:rsidRPr="00E4462A">
        <w:rPr>
          <w:lang w:val="en-US"/>
        </w:rPr>
        <w:t xml:space="preserve">Helms, J. R., Stubbins, A., Ritchie, J. D. and Minor, E. C.: Absorption spectral slopes and slope ratios as indicators of molecular weight, source, and photobleaching of chromophoric dissolved organic matter, </w:t>
      </w:r>
      <w:r w:rsidRPr="00E4462A">
        <w:rPr>
          <w:i/>
          <w:lang w:val="en-US"/>
        </w:rPr>
        <w:t>Limnology &amp; Oceanography</w:t>
      </w:r>
      <w:r w:rsidRPr="00E4462A">
        <w:rPr>
          <w:lang w:val="en-US"/>
        </w:rPr>
        <w:t xml:space="preserve"> </w:t>
      </w:r>
      <w:r w:rsidRPr="00E4462A">
        <w:rPr>
          <w:b/>
          <w:lang w:val="en-US"/>
        </w:rPr>
        <w:t>53</w:t>
      </w:r>
      <w:r w:rsidRPr="00E4462A">
        <w:rPr>
          <w:lang w:val="en-US"/>
        </w:rPr>
        <w:t>, 955–969, 2008.</w:t>
      </w:r>
    </w:p>
    <w:p w14:paraId="2D246B53" w14:textId="77777777" w:rsidR="00C22E78" w:rsidRPr="00E4462A" w:rsidRDefault="00C22E78" w:rsidP="00C22E78">
      <w:pPr>
        <w:jc w:val="both"/>
        <w:rPr>
          <w:lang w:val="en-US"/>
        </w:rPr>
      </w:pPr>
    </w:p>
    <w:p w14:paraId="69361176" w14:textId="77777777" w:rsidR="00C22E78" w:rsidRPr="00E4462A" w:rsidRDefault="00C22E78" w:rsidP="00C22E78">
      <w:pPr>
        <w:jc w:val="both"/>
        <w:rPr>
          <w:lang w:val="en-US"/>
        </w:rPr>
      </w:pPr>
      <w:r w:rsidRPr="00E4462A">
        <w:rPr>
          <w:lang w:val="en-US"/>
        </w:rPr>
        <w:lastRenderedPageBreak/>
        <w:t xml:space="preserve">Hertkorn, N., Harir, M., Koch, B. P., Michalke, B. and Schmitt-Kopplin, P.: High-field NMR spectroscopy and FTICR mass spectrometry: powerful discovery tools for the molecular level characterization of marine dissolved organic matter. </w:t>
      </w:r>
      <w:r w:rsidRPr="00E4462A">
        <w:rPr>
          <w:i/>
          <w:lang w:val="en-US"/>
        </w:rPr>
        <w:t>Biogeosciences</w:t>
      </w:r>
      <w:r w:rsidRPr="00E4462A">
        <w:rPr>
          <w:lang w:val="en-US"/>
        </w:rPr>
        <w:t xml:space="preserve"> </w:t>
      </w:r>
      <w:r w:rsidRPr="00E4462A">
        <w:rPr>
          <w:b/>
          <w:lang w:val="en-US"/>
        </w:rPr>
        <w:t>10</w:t>
      </w:r>
      <w:r w:rsidRPr="00E4462A">
        <w:rPr>
          <w:lang w:val="en-US"/>
        </w:rPr>
        <w:t>, 1583-1624, 2013.</w:t>
      </w:r>
    </w:p>
    <w:p w14:paraId="5A48D28D" w14:textId="77777777" w:rsidR="00C22E78" w:rsidRPr="00E4462A" w:rsidRDefault="00C22E78" w:rsidP="00C22E78">
      <w:pPr>
        <w:jc w:val="both"/>
        <w:rPr>
          <w:lang w:val="en-US"/>
        </w:rPr>
      </w:pPr>
    </w:p>
    <w:p w14:paraId="36C260A3" w14:textId="77777777" w:rsidR="00C22E78" w:rsidRPr="00E4462A" w:rsidRDefault="00C22E78" w:rsidP="00C22E78">
      <w:pPr>
        <w:jc w:val="both"/>
        <w:rPr>
          <w:lang w:val="en-US"/>
        </w:rPr>
      </w:pPr>
      <w:r w:rsidRPr="00E4462A">
        <w:rPr>
          <w:lang w:val="en-US"/>
        </w:rPr>
        <w:t xml:space="preserve">Hertkorn, N., Benner, R., Frommberger, M., Schmitt-Kopplin, P., Witt, M., Kaiser, K., Kettrup, A. and Hedges, J.I.: Characterization of a major refractory component of marine dissolved organic matter, </w:t>
      </w:r>
      <w:r w:rsidRPr="00E4462A">
        <w:rPr>
          <w:i/>
          <w:noProof/>
          <w:lang w:val="en-US"/>
        </w:rPr>
        <w:t>Geochimica et Cosmochimica Acta</w:t>
      </w:r>
      <w:r w:rsidRPr="00E4462A">
        <w:rPr>
          <w:noProof/>
          <w:lang w:val="en-US"/>
        </w:rPr>
        <w:t xml:space="preserve"> </w:t>
      </w:r>
      <w:r w:rsidRPr="00E4462A">
        <w:rPr>
          <w:b/>
          <w:lang w:val="en-US"/>
        </w:rPr>
        <w:t>70</w:t>
      </w:r>
      <w:r w:rsidRPr="00E4462A">
        <w:rPr>
          <w:lang w:val="en-US"/>
        </w:rPr>
        <w:t>, 2990-3010, 2006.</w:t>
      </w:r>
    </w:p>
    <w:p w14:paraId="5A0218E4" w14:textId="77777777" w:rsidR="00C22E78" w:rsidRPr="00E4462A" w:rsidRDefault="00C22E78" w:rsidP="00C22E78">
      <w:pPr>
        <w:jc w:val="both"/>
        <w:rPr>
          <w:lang w:val="en-US"/>
        </w:rPr>
      </w:pPr>
    </w:p>
    <w:p w14:paraId="1D81CE34" w14:textId="77777777" w:rsidR="00C22E78" w:rsidRPr="00E4462A" w:rsidRDefault="00C22E78" w:rsidP="00C22E78">
      <w:pPr>
        <w:jc w:val="both"/>
        <w:rPr>
          <w:lang w:val="en-US"/>
        </w:rPr>
      </w:pPr>
      <w:r w:rsidRPr="00E4462A">
        <w:rPr>
          <w:lang w:val="en-US"/>
        </w:rPr>
        <w:t xml:space="preserve">Hertkorn, N., Frommberger, M., Witt, M., Koch, B. P., Schmitt-Kopplin, P. and Perdue, E. M.: Natural organic matter and the event horizon of mass spectrometry, </w:t>
      </w:r>
      <w:r w:rsidRPr="00E4462A">
        <w:rPr>
          <w:i/>
          <w:lang w:val="en-US"/>
        </w:rPr>
        <w:t>Analytical Chemistry</w:t>
      </w:r>
      <w:r w:rsidRPr="00E4462A">
        <w:rPr>
          <w:lang w:val="en-US"/>
        </w:rPr>
        <w:t xml:space="preserve"> </w:t>
      </w:r>
      <w:r w:rsidRPr="00E4462A">
        <w:rPr>
          <w:b/>
          <w:lang w:val="en-US"/>
        </w:rPr>
        <w:t>80</w:t>
      </w:r>
      <w:r w:rsidRPr="00E4462A">
        <w:rPr>
          <w:lang w:val="en-US"/>
        </w:rPr>
        <w:t>, 8908-8919, 2008.</w:t>
      </w:r>
    </w:p>
    <w:p w14:paraId="17D05F89" w14:textId="77777777" w:rsidR="00C22E78" w:rsidRPr="00E4462A" w:rsidRDefault="00C22E78" w:rsidP="00C22E78">
      <w:pPr>
        <w:jc w:val="both"/>
        <w:rPr>
          <w:lang w:val="en-US"/>
        </w:rPr>
      </w:pPr>
    </w:p>
    <w:p w14:paraId="2FEDB88D" w14:textId="77777777" w:rsidR="00C22E78" w:rsidRPr="00E4462A" w:rsidRDefault="00C22E78" w:rsidP="00C22E78">
      <w:pPr>
        <w:jc w:val="both"/>
        <w:rPr>
          <w:lang w:val="en-US"/>
        </w:rPr>
      </w:pPr>
      <w:r w:rsidRPr="00E4462A">
        <w:rPr>
          <w:lang w:val="en-US"/>
        </w:rPr>
        <w:t xml:space="preserve">Hertkorn, N., Ruecker, C., Meringer, M., Gugisch, R., Frommberger, M., Perdue, E. M., Witt, M. and Schmitt-Kopplin, P.: High-precision frequency measurements: indispensable tools at the core of the molecular-level analysis of complex systems, </w:t>
      </w:r>
      <w:r w:rsidRPr="00E4462A">
        <w:rPr>
          <w:i/>
          <w:lang w:val="en-US"/>
        </w:rPr>
        <w:t>Analytical Bioanalytical Chemistry</w:t>
      </w:r>
      <w:r w:rsidRPr="00E4462A">
        <w:rPr>
          <w:lang w:val="en-US"/>
        </w:rPr>
        <w:t xml:space="preserve"> </w:t>
      </w:r>
      <w:r w:rsidRPr="00E4462A">
        <w:rPr>
          <w:b/>
          <w:lang w:val="en-US"/>
        </w:rPr>
        <w:t>389</w:t>
      </w:r>
      <w:r w:rsidRPr="00E4462A">
        <w:rPr>
          <w:lang w:val="en-US"/>
        </w:rPr>
        <w:t>, 1311-1327, 2007.</w:t>
      </w:r>
    </w:p>
    <w:p w14:paraId="4DCDD263" w14:textId="77777777" w:rsidR="00C22E78" w:rsidRPr="00E4462A" w:rsidRDefault="00C22E78" w:rsidP="00C22E78">
      <w:pPr>
        <w:jc w:val="both"/>
        <w:rPr>
          <w:lang w:val="en-US"/>
        </w:rPr>
      </w:pPr>
    </w:p>
    <w:p w14:paraId="6C0CFFA5" w14:textId="77777777" w:rsidR="00C22E78" w:rsidRPr="00E4462A" w:rsidRDefault="00C22E78" w:rsidP="00C22E78">
      <w:pPr>
        <w:jc w:val="both"/>
        <w:rPr>
          <w:lang w:val="en-US"/>
        </w:rPr>
      </w:pPr>
      <w:r w:rsidRPr="00E4462A">
        <w:rPr>
          <w:lang w:val="en-US"/>
        </w:rPr>
        <w:t xml:space="preserve">Jaffé, R., </w:t>
      </w:r>
      <w:r w:rsidRPr="00E4462A">
        <w:rPr>
          <w:bCs/>
          <w:lang w:val="en-US"/>
        </w:rPr>
        <w:t>Ding, Y.</w:t>
      </w:r>
      <w:r w:rsidRPr="00E4462A">
        <w:rPr>
          <w:lang w:val="en-US"/>
        </w:rPr>
        <w:t xml:space="preserve">, Niggemann, J., Vähätalo, A., Stubbins, A., Spencer, R., Campbell, J. L. and Dittmar T.: Global mobilization of charcoal from soils via dissolution and subsequent riverine transport to the oceans, </w:t>
      </w:r>
      <w:r w:rsidRPr="00E4462A">
        <w:rPr>
          <w:i/>
          <w:iCs/>
          <w:lang w:val="en-US"/>
        </w:rPr>
        <w:t>Science</w:t>
      </w:r>
      <w:r w:rsidRPr="00E4462A">
        <w:rPr>
          <w:iCs/>
          <w:lang w:val="en-US"/>
        </w:rPr>
        <w:t xml:space="preserve"> </w:t>
      </w:r>
      <w:r w:rsidRPr="00E4462A">
        <w:rPr>
          <w:b/>
          <w:iCs/>
          <w:lang w:val="en-US"/>
        </w:rPr>
        <w:t>340</w:t>
      </w:r>
      <w:r w:rsidRPr="00E4462A">
        <w:rPr>
          <w:lang w:val="en-US"/>
        </w:rPr>
        <w:t>, 345-347</w:t>
      </w:r>
      <w:r w:rsidRPr="00E4462A">
        <w:rPr>
          <w:iCs/>
          <w:lang w:val="en-US"/>
        </w:rPr>
        <w:t>,</w:t>
      </w:r>
      <w:r w:rsidRPr="00E4462A">
        <w:rPr>
          <w:lang w:val="en-US"/>
        </w:rPr>
        <w:t xml:space="preserve"> 2013.</w:t>
      </w:r>
    </w:p>
    <w:p w14:paraId="49B85B6C" w14:textId="77777777" w:rsidR="00C22E78" w:rsidRPr="00E4462A" w:rsidRDefault="00C22E78" w:rsidP="00C22E78">
      <w:pPr>
        <w:jc w:val="both"/>
        <w:rPr>
          <w:lang w:val="en-US"/>
        </w:rPr>
      </w:pPr>
    </w:p>
    <w:p w14:paraId="40980917" w14:textId="77777777" w:rsidR="00C22E78" w:rsidRPr="00E4462A" w:rsidRDefault="00C22E78" w:rsidP="00C22E78">
      <w:pPr>
        <w:jc w:val="both"/>
        <w:rPr>
          <w:lang w:val="en-GB"/>
        </w:rPr>
      </w:pPr>
      <w:r w:rsidRPr="00E4462A">
        <w:rPr>
          <w:lang w:val="en-GB"/>
        </w:rPr>
        <w:t xml:space="preserve">Jaffé, R., Cawley, K. M. and Yamashita, Y.: </w:t>
      </w:r>
      <w:r w:rsidRPr="00E4462A">
        <w:rPr>
          <w:lang w:val="en-US"/>
        </w:rPr>
        <w:t xml:space="preserve">Applications of excitation emission matrix fluorescence with parallel factor analysis (EEM-PARAFAC) in assessing environmental dynamics of natural dissolved organic matter (DOM) in aquatic environments: A review. </w:t>
      </w:r>
      <w:r w:rsidRPr="00E4462A">
        <w:rPr>
          <w:i/>
          <w:lang w:val="en-US"/>
        </w:rPr>
        <w:t>Advances in the Physicochemical Characterization of Organic Matter</w:t>
      </w:r>
      <w:r w:rsidRPr="00E4462A">
        <w:rPr>
          <w:lang w:val="en-US"/>
        </w:rPr>
        <w:t>, ACS Series, Rosario F. - Editor. 27-73,</w:t>
      </w:r>
      <w:r w:rsidRPr="00E4462A">
        <w:rPr>
          <w:lang w:val="en-GB"/>
        </w:rPr>
        <w:t xml:space="preserve"> 2014.</w:t>
      </w:r>
    </w:p>
    <w:p w14:paraId="23A17C71" w14:textId="77777777" w:rsidR="00C22E78" w:rsidRPr="00E4462A" w:rsidRDefault="00C22E78" w:rsidP="00C22E78">
      <w:pPr>
        <w:jc w:val="both"/>
        <w:rPr>
          <w:lang w:val="en-GB"/>
        </w:rPr>
      </w:pPr>
    </w:p>
    <w:p w14:paraId="052FC0AA" w14:textId="77777777" w:rsidR="00C22E78" w:rsidRPr="00E4462A" w:rsidRDefault="00C22E78" w:rsidP="00C22E78">
      <w:pPr>
        <w:jc w:val="both"/>
        <w:rPr>
          <w:lang w:val="en-US"/>
        </w:rPr>
      </w:pPr>
      <w:r w:rsidRPr="00E4462A">
        <w:rPr>
          <w:lang w:val="en-US"/>
        </w:rPr>
        <w:t xml:space="preserve">Jaffé, R., Yamashita, Y., Maie, N., Cooper, W. T., Dittmar, T., Dodds, W. K., Jones, J. B., Myoshi, T., Ortiz-Zayas, J. R., Podgorski, D. C. and Watanabe, A.: Dissolved Organic Matter in Headwater Streams: Compositional Variability Across Climatic Regions, </w:t>
      </w:r>
      <w:r w:rsidRPr="00E4462A">
        <w:rPr>
          <w:i/>
          <w:noProof/>
          <w:lang w:val="en-US"/>
        </w:rPr>
        <w:t>Geochimica et Cosmochimica Acta</w:t>
      </w:r>
      <w:r w:rsidRPr="00E4462A">
        <w:rPr>
          <w:lang w:val="en-US"/>
        </w:rPr>
        <w:t xml:space="preserve"> </w:t>
      </w:r>
      <w:r w:rsidRPr="00E4462A">
        <w:rPr>
          <w:b/>
          <w:lang w:val="en-US"/>
        </w:rPr>
        <w:t>94</w:t>
      </w:r>
      <w:r w:rsidRPr="00E4462A">
        <w:rPr>
          <w:lang w:val="en-US"/>
        </w:rPr>
        <w:t>, 95-108, 2012.</w:t>
      </w:r>
    </w:p>
    <w:p w14:paraId="13FEE36C" w14:textId="77777777" w:rsidR="00C22E78" w:rsidRPr="00E4462A" w:rsidRDefault="00C22E78" w:rsidP="00C22E78">
      <w:pPr>
        <w:jc w:val="both"/>
        <w:rPr>
          <w:lang w:val="en-GB"/>
        </w:rPr>
      </w:pPr>
    </w:p>
    <w:p w14:paraId="34675969" w14:textId="77777777" w:rsidR="00C22E78" w:rsidRPr="00E4462A" w:rsidRDefault="00C22E78" w:rsidP="00C22E78">
      <w:pPr>
        <w:jc w:val="both"/>
        <w:rPr>
          <w:b/>
          <w:u w:val="single"/>
          <w:lang w:val="en-US"/>
        </w:rPr>
      </w:pPr>
      <w:r w:rsidRPr="00E4462A">
        <w:rPr>
          <w:lang w:val="en-US"/>
        </w:rPr>
        <w:t xml:space="preserve">Jaffé, R., McKnight, D. M., Maie, N., Cory, R. M., McDowell, W. H. and Campbell, J. L.: Spatial and temporal variations in DOM composition in ecosystems: The importance of long-term monitoring of optical properties. </w:t>
      </w:r>
      <w:r w:rsidRPr="00E4462A">
        <w:rPr>
          <w:i/>
          <w:lang w:val="en-US"/>
        </w:rPr>
        <w:t>Journal of Geophysical Research - Biogeosciences</w:t>
      </w:r>
      <w:r w:rsidRPr="00E4462A">
        <w:rPr>
          <w:lang w:val="en-US"/>
        </w:rPr>
        <w:t>. doi:10.1029/2008JG000683, 2008.</w:t>
      </w:r>
    </w:p>
    <w:p w14:paraId="7BDDED4E" w14:textId="77777777" w:rsidR="00C22E78" w:rsidRPr="00E4462A" w:rsidRDefault="00C22E78" w:rsidP="00C22E78">
      <w:pPr>
        <w:jc w:val="both"/>
        <w:rPr>
          <w:lang w:val="en-GB"/>
        </w:rPr>
      </w:pPr>
    </w:p>
    <w:p w14:paraId="0BE5B337" w14:textId="77777777" w:rsidR="00C22E78" w:rsidRPr="00E4462A" w:rsidRDefault="00C22E78" w:rsidP="00C22E78">
      <w:pPr>
        <w:autoSpaceDE w:val="0"/>
        <w:autoSpaceDN w:val="0"/>
        <w:adjustRightInd w:val="0"/>
        <w:jc w:val="both"/>
        <w:rPr>
          <w:lang w:val="en-US"/>
        </w:rPr>
      </w:pPr>
      <w:r w:rsidRPr="00E4462A">
        <w:rPr>
          <w:lang w:val="en-US"/>
        </w:rPr>
        <w:t xml:space="preserve">Junk, W. J., Brown, M., Campbell, I. C., Finlayson, M., Gopal, B., Ramberg, L. and Warner, B. G.: The comparative biodiversity of seven globally important wetlands: a synthesis, </w:t>
      </w:r>
      <w:r w:rsidRPr="00E4462A">
        <w:rPr>
          <w:i/>
          <w:lang w:val="en-US"/>
        </w:rPr>
        <w:t>Aquatic Sciences</w:t>
      </w:r>
      <w:r w:rsidRPr="00E4462A">
        <w:rPr>
          <w:lang w:val="en-US"/>
        </w:rPr>
        <w:t xml:space="preserve"> </w:t>
      </w:r>
      <w:r w:rsidRPr="00E4462A">
        <w:rPr>
          <w:b/>
          <w:lang w:val="en-US"/>
        </w:rPr>
        <w:t>68</w:t>
      </w:r>
      <w:r w:rsidRPr="00E4462A">
        <w:rPr>
          <w:lang w:val="en-US"/>
        </w:rPr>
        <w:t>, 400–414, 2006a.</w:t>
      </w:r>
    </w:p>
    <w:p w14:paraId="0618EB6C" w14:textId="77777777" w:rsidR="00C22E78" w:rsidRPr="00E4462A" w:rsidRDefault="00C22E78" w:rsidP="00C22E78">
      <w:pPr>
        <w:autoSpaceDE w:val="0"/>
        <w:autoSpaceDN w:val="0"/>
        <w:adjustRightInd w:val="0"/>
        <w:jc w:val="both"/>
        <w:rPr>
          <w:lang w:val="en-GB"/>
        </w:rPr>
      </w:pPr>
    </w:p>
    <w:p w14:paraId="050C48AF" w14:textId="77777777" w:rsidR="00C22E78" w:rsidRPr="00E4462A" w:rsidRDefault="00C22E78" w:rsidP="00C22E78">
      <w:pPr>
        <w:autoSpaceDE w:val="0"/>
        <w:autoSpaceDN w:val="0"/>
        <w:adjustRightInd w:val="0"/>
        <w:jc w:val="both"/>
        <w:rPr>
          <w:lang w:val="en-US"/>
        </w:rPr>
      </w:pPr>
      <w:r w:rsidRPr="00E4462A">
        <w:rPr>
          <w:lang w:val="en-US"/>
        </w:rPr>
        <w:t xml:space="preserve">Junk, W. J., Nunes da Cunha, C., Wantzen, K. M., Petermann, P., Strüssmann, C., Marques, M. I. and Adis, J.: Biodiversity and its conservation in the Pantanal of Mato Grosso, Brazil. </w:t>
      </w:r>
      <w:r w:rsidRPr="00E4462A">
        <w:rPr>
          <w:i/>
          <w:lang w:val="en-US"/>
        </w:rPr>
        <w:t>Aquatic Sciences</w:t>
      </w:r>
      <w:r w:rsidRPr="00E4462A">
        <w:rPr>
          <w:lang w:val="en-US"/>
        </w:rPr>
        <w:t xml:space="preserve"> </w:t>
      </w:r>
      <w:r w:rsidRPr="00E4462A">
        <w:rPr>
          <w:b/>
          <w:lang w:val="en-US"/>
        </w:rPr>
        <w:t>68</w:t>
      </w:r>
      <w:r w:rsidRPr="00E4462A">
        <w:rPr>
          <w:lang w:val="en-US"/>
        </w:rPr>
        <w:t>, 278–309, 2006b.</w:t>
      </w:r>
    </w:p>
    <w:p w14:paraId="434D08C3" w14:textId="77777777" w:rsidR="00C22E78" w:rsidRPr="00E4462A" w:rsidRDefault="00C22E78" w:rsidP="00C22E78">
      <w:pPr>
        <w:jc w:val="both"/>
        <w:rPr>
          <w:lang w:val="en-GB"/>
        </w:rPr>
      </w:pPr>
    </w:p>
    <w:p w14:paraId="7D55FA9A" w14:textId="77777777" w:rsidR="00C22E78" w:rsidRPr="00E4462A" w:rsidRDefault="00C22E78" w:rsidP="00C22E78">
      <w:pPr>
        <w:autoSpaceDE w:val="0"/>
        <w:autoSpaceDN w:val="0"/>
        <w:adjustRightInd w:val="0"/>
        <w:jc w:val="both"/>
        <w:rPr>
          <w:lang w:val="en-GB"/>
        </w:rPr>
      </w:pPr>
      <w:r w:rsidRPr="00E4462A">
        <w:rPr>
          <w:lang w:val="en-US"/>
        </w:rPr>
        <w:lastRenderedPageBreak/>
        <w:t xml:space="preserve">Junk, W. T. and Nunes da Cunha, C.: </w:t>
      </w:r>
      <w:r w:rsidRPr="00E4462A">
        <w:rPr>
          <w:lang w:val="en-GB"/>
        </w:rPr>
        <w:t xml:space="preserve">Pantanal: a large South American wetland at a crossroads, </w:t>
      </w:r>
      <w:r w:rsidRPr="00E4462A">
        <w:rPr>
          <w:i/>
          <w:lang w:val="en-GB"/>
        </w:rPr>
        <w:t>Ecological Engineering</w:t>
      </w:r>
      <w:r w:rsidRPr="00E4462A">
        <w:rPr>
          <w:lang w:val="en-GB"/>
        </w:rPr>
        <w:t xml:space="preserve"> </w:t>
      </w:r>
      <w:r w:rsidRPr="00E4462A">
        <w:rPr>
          <w:b/>
          <w:lang w:val="en-GB"/>
        </w:rPr>
        <w:t>24</w:t>
      </w:r>
      <w:r w:rsidRPr="00E4462A">
        <w:rPr>
          <w:lang w:val="en-GB"/>
        </w:rPr>
        <w:t>, 391-401,</w:t>
      </w:r>
      <w:r w:rsidRPr="00E4462A">
        <w:rPr>
          <w:lang w:val="en-US"/>
        </w:rPr>
        <w:t xml:space="preserve"> 2005.</w:t>
      </w:r>
      <w:r w:rsidRPr="00E4462A">
        <w:rPr>
          <w:lang w:val="en-GB"/>
        </w:rPr>
        <w:t xml:space="preserve"> </w:t>
      </w:r>
    </w:p>
    <w:p w14:paraId="667BD703" w14:textId="77777777" w:rsidR="00C22E78" w:rsidRPr="00E4462A" w:rsidRDefault="00C22E78" w:rsidP="00C22E78">
      <w:pPr>
        <w:jc w:val="both"/>
        <w:rPr>
          <w:lang w:val="en-US"/>
        </w:rPr>
      </w:pPr>
    </w:p>
    <w:p w14:paraId="37F46BAD" w14:textId="77777777" w:rsidR="00C22E78" w:rsidRPr="00E4462A" w:rsidRDefault="00C22E78" w:rsidP="00C22E78">
      <w:pPr>
        <w:jc w:val="both"/>
        <w:rPr>
          <w:lang w:val="en-US"/>
        </w:rPr>
      </w:pPr>
      <w:r w:rsidRPr="00E4462A">
        <w:rPr>
          <w:lang w:val="en-US"/>
        </w:rPr>
        <w:t xml:space="preserve">Kaiser, E., Simpson, A. J., Dria, K. J., Sulzberger, B. and Hatcher, P. G.: Solid-state and multidimensional solution-state NMR of solid phase extracted and ultrafiltered riverine dissolved organic matter, </w:t>
      </w:r>
      <w:r w:rsidRPr="00E4462A">
        <w:rPr>
          <w:i/>
          <w:lang w:val="en-US"/>
        </w:rPr>
        <w:t>Environmental Science &amp; Technology</w:t>
      </w:r>
      <w:r w:rsidRPr="00E4462A">
        <w:rPr>
          <w:lang w:val="en-US"/>
        </w:rPr>
        <w:t xml:space="preserve"> </w:t>
      </w:r>
      <w:r w:rsidRPr="00E4462A">
        <w:rPr>
          <w:b/>
          <w:lang w:val="en-US"/>
        </w:rPr>
        <w:t>37</w:t>
      </w:r>
      <w:r w:rsidRPr="00E4462A">
        <w:rPr>
          <w:lang w:val="en-US"/>
        </w:rPr>
        <w:t>, 2929-2935, 2003.</w:t>
      </w:r>
    </w:p>
    <w:p w14:paraId="36D3A0AB" w14:textId="77777777" w:rsidR="00C22E78" w:rsidRPr="00E4462A" w:rsidRDefault="00C22E78" w:rsidP="00C22E78">
      <w:pPr>
        <w:jc w:val="both"/>
        <w:rPr>
          <w:lang w:val="en-US"/>
        </w:rPr>
      </w:pPr>
    </w:p>
    <w:p w14:paraId="6FC78B46" w14:textId="77777777" w:rsidR="00C22E78" w:rsidRPr="00E4462A" w:rsidRDefault="00C22E78" w:rsidP="00C22E78">
      <w:r w:rsidRPr="00E4462A">
        <w:rPr>
          <w:lang w:val="en-US"/>
        </w:rPr>
        <w:t xml:space="preserve">Kellerman, A. M., Kothawala, D. N., Dittmar, T. and Tranvik, L. J.: Persistence of dissolved organic matter in lakes related to its molecular characteristics, </w:t>
      </w:r>
      <w:r w:rsidRPr="00E4462A">
        <w:rPr>
          <w:i/>
          <w:lang w:val="en-US"/>
        </w:rPr>
        <w:t xml:space="preserve">Nat. </w:t>
      </w:r>
      <w:r w:rsidRPr="00E4462A">
        <w:rPr>
          <w:i/>
        </w:rPr>
        <w:t>Geosci. Lett.</w:t>
      </w:r>
      <w:r w:rsidRPr="00E4462A">
        <w:t xml:space="preserve"> </w:t>
      </w:r>
      <w:r w:rsidRPr="00E4462A">
        <w:rPr>
          <w:b/>
        </w:rPr>
        <w:t>8</w:t>
      </w:r>
      <w:r w:rsidRPr="00E4462A">
        <w:t>, 454-457, 2015.</w:t>
      </w:r>
    </w:p>
    <w:p w14:paraId="5536DD63" w14:textId="77777777" w:rsidR="00C22E78" w:rsidRPr="00E4462A" w:rsidRDefault="00C22E78" w:rsidP="00C22E78">
      <w:pPr>
        <w:jc w:val="both"/>
      </w:pPr>
    </w:p>
    <w:p w14:paraId="34D7FA9A" w14:textId="77777777" w:rsidR="00C22E78" w:rsidRPr="00E4462A" w:rsidRDefault="00C22E78" w:rsidP="00C22E78">
      <w:pPr>
        <w:jc w:val="both"/>
        <w:rPr>
          <w:lang w:val="en-US"/>
        </w:rPr>
      </w:pPr>
      <w:r w:rsidRPr="00E4462A">
        <w:rPr>
          <w:lang w:val="en-US"/>
        </w:rPr>
        <w:t xml:space="preserve">Koch, B. P., Dittmar, T., Witt, M. and Kattner, G.: Fundamentals of molecular formula assignment to ultrahigh resolution mass data of natural organic matter, </w:t>
      </w:r>
      <w:r w:rsidRPr="00E4462A">
        <w:rPr>
          <w:i/>
          <w:lang w:val="en-US"/>
        </w:rPr>
        <w:t>Analytical Chemistry</w:t>
      </w:r>
      <w:r w:rsidRPr="00E4462A">
        <w:rPr>
          <w:lang w:val="en-US"/>
        </w:rPr>
        <w:t xml:space="preserve"> </w:t>
      </w:r>
      <w:r w:rsidRPr="00E4462A">
        <w:rPr>
          <w:b/>
          <w:lang w:val="en-US"/>
        </w:rPr>
        <w:t>79</w:t>
      </w:r>
      <w:r w:rsidRPr="00E4462A">
        <w:rPr>
          <w:lang w:val="en-US"/>
        </w:rPr>
        <w:t>, 1758-1763, 2007.</w:t>
      </w:r>
    </w:p>
    <w:p w14:paraId="5CB5C567" w14:textId="77777777" w:rsidR="00C22E78" w:rsidRPr="00E4462A" w:rsidRDefault="00C22E78" w:rsidP="00C22E78">
      <w:pPr>
        <w:jc w:val="both"/>
        <w:rPr>
          <w:lang w:val="en-US"/>
        </w:rPr>
      </w:pPr>
    </w:p>
    <w:p w14:paraId="4462E9FE" w14:textId="77777777" w:rsidR="00C22E78" w:rsidRPr="00E4462A" w:rsidRDefault="00C22E78" w:rsidP="00C22E78">
      <w:pPr>
        <w:jc w:val="both"/>
        <w:rPr>
          <w:lang w:val="en-US"/>
        </w:rPr>
      </w:pPr>
      <w:r w:rsidRPr="00E4462A">
        <w:rPr>
          <w:lang w:val="en-US"/>
        </w:rPr>
        <w:t xml:space="preserve">Koch, B. P., Witt, M. R., Engbrodt, R., Dittmar, T. and Kattner, G.: Molecular formulae of marine and terrigenous dissolved organic matter detected by electrospray ionization Fourier transform ion cyclotron resonance mass spectrometry, </w:t>
      </w:r>
      <w:r w:rsidRPr="00E4462A">
        <w:rPr>
          <w:i/>
          <w:noProof/>
          <w:lang w:val="en-US"/>
        </w:rPr>
        <w:t>Geochimica et Cosmochimica Acta</w:t>
      </w:r>
      <w:r w:rsidRPr="00E4462A">
        <w:rPr>
          <w:noProof/>
          <w:lang w:val="en-US"/>
        </w:rPr>
        <w:t xml:space="preserve"> </w:t>
      </w:r>
      <w:r w:rsidRPr="00E4462A">
        <w:rPr>
          <w:b/>
          <w:lang w:val="en-US"/>
        </w:rPr>
        <w:t>69</w:t>
      </w:r>
      <w:r w:rsidRPr="00E4462A">
        <w:rPr>
          <w:lang w:val="en-US"/>
        </w:rPr>
        <w:t>, 3299-3308, 2005.</w:t>
      </w:r>
    </w:p>
    <w:p w14:paraId="21B78C7E" w14:textId="77777777" w:rsidR="00C22E78" w:rsidRPr="00E4462A" w:rsidRDefault="00C22E78" w:rsidP="00C22E78">
      <w:pPr>
        <w:jc w:val="both"/>
        <w:rPr>
          <w:lang w:val="en-US"/>
        </w:rPr>
      </w:pPr>
    </w:p>
    <w:p w14:paraId="199581BC" w14:textId="77777777" w:rsidR="00C22E78" w:rsidRPr="00E4462A" w:rsidRDefault="00C22E78" w:rsidP="00C22E78">
      <w:pPr>
        <w:jc w:val="both"/>
        <w:rPr>
          <w:lang w:val="en-US"/>
        </w:rPr>
      </w:pPr>
      <w:r w:rsidRPr="00E4462A">
        <w:rPr>
          <w:lang w:val="en-US"/>
        </w:rPr>
        <w:t xml:space="preserve">Koch, B. P. and Dittmar, T.: From mass to structure: an aromaticity index for high-resolution mass data of natural organic matter, </w:t>
      </w:r>
      <w:r w:rsidRPr="00E4462A">
        <w:rPr>
          <w:i/>
          <w:lang w:val="en-US"/>
        </w:rPr>
        <w:t>Rapid Communications in Mass Spectrometry</w:t>
      </w:r>
      <w:r w:rsidRPr="00E4462A">
        <w:rPr>
          <w:lang w:val="en-US"/>
        </w:rPr>
        <w:t xml:space="preserve">, </w:t>
      </w:r>
      <w:r w:rsidRPr="00E4462A">
        <w:rPr>
          <w:b/>
          <w:lang w:val="en-US"/>
        </w:rPr>
        <w:t>20</w:t>
      </w:r>
      <w:r w:rsidRPr="00E4462A">
        <w:rPr>
          <w:lang w:val="en-US"/>
        </w:rPr>
        <w:t>, 926-932, 2006.</w:t>
      </w:r>
    </w:p>
    <w:p w14:paraId="179ED979" w14:textId="77777777" w:rsidR="00C22E78" w:rsidRPr="00E4462A" w:rsidRDefault="00C22E78" w:rsidP="00C22E78">
      <w:pPr>
        <w:jc w:val="both"/>
        <w:rPr>
          <w:lang w:val="en-US"/>
        </w:rPr>
      </w:pPr>
    </w:p>
    <w:p w14:paraId="4409B812" w14:textId="77777777" w:rsidR="00C22E78" w:rsidRPr="00E4462A" w:rsidRDefault="00C22E78" w:rsidP="00C22E78">
      <w:pPr>
        <w:rPr>
          <w:lang w:val="en-US"/>
        </w:rPr>
      </w:pPr>
      <w:r w:rsidRPr="00E4462A">
        <w:rPr>
          <w:lang w:val="en-US"/>
        </w:rPr>
        <w:t xml:space="preserve">Kujawinski, E.B.: Electrospray ionization Fourier transform ion cyclotron resonance mass spectrometry (ESI FT-ICR MS): Characterization of complex environmental mixtures. </w:t>
      </w:r>
      <w:r w:rsidRPr="00E4462A">
        <w:rPr>
          <w:i/>
          <w:lang w:val="en-US"/>
        </w:rPr>
        <w:t>Environ. Forensics,</w:t>
      </w:r>
      <w:r w:rsidRPr="00E4462A">
        <w:rPr>
          <w:lang w:val="en-US"/>
        </w:rPr>
        <w:t xml:space="preserve"> </w:t>
      </w:r>
      <w:r w:rsidRPr="00E4462A">
        <w:rPr>
          <w:b/>
          <w:lang w:val="en-US"/>
        </w:rPr>
        <w:t>3</w:t>
      </w:r>
      <w:r w:rsidRPr="00E4462A">
        <w:rPr>
          <w:lang w:val="en-US"/>
        </w:rPr>
        <w:t>, 207-216, 2002.</w:t>
      </w:r>
    </w:p>
    <w:p w14:paraId="43E75E75" w14:textId="77777777" w:rsidR="00C22E78" w:rsidRPr="00E4462A" w:rsidRDefault="00C22E78" w:rsidP="00C22E78">
      <w:pPr>
        <w:jc w:val="both"/>
        <w:rPr>
          <w:lang w:val="en-US"/>
        </w:rPr>
      </w:pPr>
    </w:p>
    <w:p w14:paraId="1E1F9921" w14:textId="77777777" w:rsidR="00C22E78" w:rsidRPr="00E4462A" w:rsidRDefault="00C22E78" w:rsidP="00C22E78">
      <w:pPr>
        <w:jc w:val="both"/>
        <w:rPr>
          <w:lang w:val="en-US"/>
        </w:rPr>
      </w:pPr>
      <w:r w:rsidRPr="00E4462A">
        <w:rPr>
          <w:lang w:val="en-US"/>
        </w:rPr>
        <w:t xml:space="preserve">Kujawinski, E. B., Longnecker, K., Blough, N. V., Del Vecchio, R., Finlay, L., Kitner, J. B. and Giovannoni, S. J.: Identification of possible source markers in marine dissolved organic matter using ultrahigh resolution mass spectrometry. </w:t>
      </w:r>
      <w:r w:rsidRPr="00E4462A">
        <w:rPr>
          <w:i/>
          <w:noProof/>
          <w:lang w:val="en-US"/>
        </w:rPr>
        <w:t>Geochimica et Cosmochimica Acta</w:t>
      </w:r>
      <w:r w:rsidRPr="00E4462A">
        <w:rPr>
          <w:noProof/>
          <w:lang w:val="en-US"/>
        </w:rPr>
        <w:t xml:space="preserve"> </w:t>
      </w:r>
      <w:r w:rsidRPr="00E4462A">
        <w:rPr>
          <w:b/>
          <w:lang w:val="en-US"/>
        </w:rPr>
        <w:t>73</w:t>
      </w:r>
      <w:r w:rsidRPr="00E4462A">
        <w:rPr>
          <w:lang w:val="en-US"/>
        </w:rPr>
        <w:t>, 4384-4399, 2009.</w:t>
      </w:r>
    </w:p>
    <w:p w14:paraId="3D424CAC" w14:textId="77777777" w:rsidR="00C22E78" w:rsidRPr="00E4462A" w:rsidRDefault="00C22E78" w:rsidP="00C22E78">
      <w:pPr>
        <w:jc w:val="both"/>
        <w:rPr>
          <w:lang w:val="en-US"/>
        </w:rPr>
      </w:pPr>
    </w:p>
    <w:p w14:paraId="3384397A" w14:textId="77777777" w:rsidR="00C22E78" w:rsidRPr="00E4462A" w:rsidRDefault="00C22E78" w:rsidP="00C22E78">
      <w:pPr>
        <w:jc w:val="both"/>
        <w:rPr>
          <w:rFonts w:ascii="Times" w:hAnsi="Times" w:cs="Times"/>
          <w:color w:val="000000"/>
          <w:lang w:val="en-US"/>
        </w:rPr>
      </w:pPr>
      <w:r w:rsidRPr="00E4462A">
        <w:rPr>
          <w:rFonts w:ascii="Times" w:hAnsi="Times" w:cs="Times"/>
          <w:color w:val="000000"/>
          <w:lang w:val="en-US"/>
        </w:rPr>
        <w:t xml:space="preserve">Lam, B., Alaee, M., Lefebvre, B., Moser, A., Williams, A. and Simpson, A. J.: Major Structural Components in Freshwater Dissolved Organic Matter, </w:t>
      </w:r>
      <w:r w:rsidRPr="00E4462A">
        <w:rPr>
          <w:rFonts w:ascii="Times" w:hAnsi="Times" w:cs="Times"/>
          <w:i/>
          <w:iCs/>
          <w:color w:val="000000"/>
          <w:lang w:val="en-US"/>
        </w:rPr>
        <w:t>Environmental Science and Technology</w:t>
      </w:r>
      <w:r w:rsidRPr="00E4462A">
        <w:rPr>
          <w:rFonts w:ascii="Times" w:hAnsi="Times" w:cs="Times"/>
          <w:color w:val="000000"/>
          <w:lang w:val="en-US"/>
        </w:rPr>
        <w:t xml:space="preserve">, </w:t>
      </w:r>
      <w:r w:rsidRPr="00E4462A">
        <w:rPr>
          <w:rFonts w:ascii="Times" w:hAnsi="Times" w:cs="Times"/>
          <w:b/>
          <w:bCs/>
          <w:color w:val="000000"/>
          <w:lang w:val="en-US"/>
        </w:rPr>
        <w:t>41</w:t>
      </w:r>
      <w:r w:rsidRPr="00E4462A">
        <w:rPr>
          <w:rFonts w:ascii="Times" w:hAnsi="Times" w:cs="Times"/>
          <w:color w:val="000000"/>
          <w:lang w:val="en-US"/>
        </w:rPr>
        <w:t>, 2840-2847, 2007.</w:t>
      </w:r>
    </w:p>
    <w:p w14:paraId="729DD2BC" w14:textId="77777777" w:rsidR="00C22E78" w:rsidRPr="00E4462A" w:rsidRDefault="00C22E78" w:rsidP="00C22E78">
      <w:pPr>
        <w:jc w:val="both"/>
        <w:rPr>
          <w:rFonts w:ascii="Times" w:hAnsi="Times" w:cs="Times"/>
          <w:color w:val="000000"/>
          <w:lang w:val="en-US"/>
        </w:rPr>
      </w:pPr>
    </w:p>
    <w:p w14:paraId="2BAA7933" w14:textId="77777777" w:rsidR="00C22E78" w:rsidRPr="00E4462A" w:rsidRDefault="00C22E78" w:rsidP="00C22E78">
      <w:pPr>
        <w:jc w:val="both"/>
        <w:rPr>
          <w:lang w:val="en-US"/>
        </w:rPr>
      </w:pPr>
      <w:r w:rsidRPr="00E4462A">
        <w:rPr>
          <w:lang w:val="en-US"/>
        </w:rPr>
        <w:t xml:space="preserve">Lechtenfeld, O. J., Kattner, G., Flerus, R., McCallister, S. L., Schmitt-Kopplin, P., Koch, B. P.: Molecular transformation and degradation of refractory dissolved organic matter in the Atlantic and Southern Ocean, </w:t>
      </w:r>
      <w:r w:rsidRPr="00E4462A">
        <w:rPr>
          <w:i/>
          <w:noProof/>
          <w:lang w:val="en-US"/>
        </w:rPr>
        <w:t>Geochimica et Cosmochimica Acta</w:t>
      </w:r>
      <w:r w:rsidRPr="00E4462A">
        <w:rPr>
          <w:lang w:val="en-US"/>
        </w:rPr>
        <w:t xml:space="preserve">, </w:t>
      </w:r>
      <w:r w:rsidRPr="00E4462A">
        <w:rPr>
          <w:b/>
          <w:lang w:val="en-US"/>
        </w:rPr>
        <w:t>126</w:t>
      </w:r>
      <w:r w:rsidRPr="00E4462A">
        <w:rPr>
          <w:lang w:val="en-US"/>
        </w:rPr>
        <w:t>, 321-337, 2014.</w:t>
      </w:r>
    </w:p>
    <w:p w14:paraId="45F85997" w14:textId="77777777" w:rsidR="00C22E78" w:rsidRPr="00E4462A" w:rsidRDefault="00C22E78" w:rsidP="00C22E78">
      <w:pPr>
        <w:jc w:val="both"/>
        <w:rPr>
          <w:lang w:val="en-US"/>
        </w:rPr>
      </w:pPr>
    </w:p>
    <w:p w14:paraId="6391DB4E" w14:textId="77777777" w:rsidR="00C22E78" w:rsidRPr="00E4462A" w:rsidRDefault="00C22E78" w:rsidP="00C22E78">
      <w:pPr>
        <w:jc w:val="both"/>
        <w:rPr>
          <w:lang w:val="en-US"/>
        </w:rPr>
      </w:pPr>
      <w:r w:rsidRPr="00E4462A">
        <w:rPr>
          <w:lang w:val="en-US"/>
        </w:rPr>
        <w:t xml:space="preserve">Liu, P., Xu, C., Shi, Q., Pan, N., Zhang, Y., Zhao, S., Chung, K. H.: Characterization of Sulfide Compounds in Petroleum: Selective Oxidation Followed by Positive-Ion Electrospray Fourier Transform Ion Cyclotron Resonance Mass Spectrometry, </w:t>
      </w:r>
      <w:r w:rsidRPr="00E4462A">
        <w:rPr>
          <w:i/>
          <w:lang w:val="en-US"/>
        </w:rPr>
        <w:t>Analytical Chemistry</w:t>
      </w:r>
      <w:r w:rsidRPr="00E4462A">
        <w:rPr>
          <w:lang w:val="en-US"/>
        </w:rPr>
        <w:t xml:space="preserve"> </w:t>
      </w:r>
      <w:r w:rsidRPr="00E4462A">
        <w:rPr>
          <w:b/>
          <w:lang w:val="en-US"/>
        </w:rPr>
        <w:t>82</w:t>
      </w:r>
      <w:r w:rsidRPr="00E4462A">
        <w:rPr>
          <w:lang w:val="en-US"/>
        </w:rPr>
        <w:t>, 6601-6606, 2010.</w:t>
      </w:r>
    </w:p>
    <w:p w14:paraId="6D973D4A" w14:textId="77777777" w:rsidR="00C22E78" w:rsidRPr="00E4462A" w:rsidRDefault="00C22E78" w:rsidP="00C22E78">
      <w:pPr>
        <w:jc w:val="both"/>
        <w:rPr>
          <w:lang w:val="en-US"/>
        </w:rPr>
      </w:pPr>
    </w:p>
    <w:p w14:paraId="5E1726AF" w14:textId="77777777" w:rsidR="00C22E78" w:rsidRPr="00E4462A" w:rsidRDefault="00C22E78" w:rsidP="00C22E78">
      <w:pPr>
        <w:jc w:val="both"/>
        <w:rPr>
          <w:lang w:val="en-US"/>
        </w:rPr>
      </w:pPr>
      <w:r w:rsidRPr="00E4462A">
        <w:rPr>
          <w:lang w:val="en-US"/>
        </w:rPr>
        <w:lastRenderedPageBreak/>
        <w:t>Maie,</w:t>
      </w:r>
      <w:r w:rsidRPr="00E4462A">
        <w:rPr>
          <w:vertAlign w:val="superscript"/>
          <w:lang w:val="en-US"/>
        </w:rPr>
        <w:t xml:space="preserve"> </w:t>
      </w:r>
      <w:r w:rsidRPr="00E4462A">
        <w:rPr>
          <w:lang w:val="en-US"/>
        </w:rPr>
        <w:t xml:space="preserve">N., Yang, C.-Y., Miyoshi, T., Parish, K. and Jaffé, R.: Chemical characteristics of dissolved organic matter in an oligotrophic subtropical wetland/estuarine ecosystem. </w:t>
      </w:r>
      <w:r w:rsidRPr="00E4462A">
        <w:rPr>
          <w:i/>
          <w:lang w:val="en-US"/>
        </w:rPr>
        <w:t>Limnology &amp; Oceanography</w:t>
      </w:r>
      <w:r w:rsidRPr="00E4462A">
        <w:rPr>
          <w:lang w:val="en-US"/>
        </w:rPr>
        <w:t xml:space="preserve"> </w:t>
      </w:r>
      <w:r w:rsidRPr="00E4462A">
        <w:rPr>
          <w:b/>
          <w:lang w:val="en-US"/>
        </w:rPr>
        <w:t>50</w:t>
      </w:r>
      <w:r w:rsidRPr="00E4462A">
        <w:rPr>
          <w:lang w:val="en-US"/>
        </w:rPr>
        <w:t>, 23-35, 2005.</w:t>
      </w:r>
    </w:p>
    <w:p w14:paraId="3933E982" w14:textId="77777777" w:rsidR="00C22E78" w:rsidRPr="00E4462A" w:rsidRDefault="00C22E78" w:rsidP="00C22E78">
      <w:pPr>
        <w:jc w:val="both"/>
        <w:rPr>
          <w:lang w:val="en-US"/>
        </w:rPr>
      </w:pPr>
    </w:p>
    <w:p w14:paraId="1791E337" w14:textId="77777777" w:rsidR="00C22E78" w:rsidRPr="00E4462A" w:rsidRDefault="00C22E78" w:rsidP="00C22E78">
      <w:pPr>
        <w:jc w:val="both"/>
        <w:rPr>
          <w:lang w:val="en-US"/>
        </w:rPr>
      </w:pPr>
      <w:r w:rsidRPr="00E4462A">
        <w:rPr>
          <w:lang w:val="en-US"/>
        </w:rPr>
        <w:t xml:space="preserve">Maie, N., Parish, K., Watanabe, A., Knicker, H., Benner, R., Abe, T., Kaiser, K. and Jaffé, R.: Chemical characteristics of dissolved organic nitrogen in an oligotrophic subtropical coastal ecosystem, </w:t>
      </w:r>
      <w:r w:rsidRPr="00E4462A">
        <w:rPr>
          <w:i/>
          <w:lang w:val="en-US"/>
        </w:rPr>
        <w:t>Geochimica et Cosmochimica Acta</w:t>
      </w:r>
      <w:r w:rsidRPr="00E4462A">
        <w:rPr>
          <w:lang w:val="en-US"/>
        </w:rPr>
        <w:t xml:space="preserve"> </w:t>
      </w:r>
      <w:r w:rsidRPr="00E4462A">
        <w:rPr>
          <w:b/>
          <w:lang w:val="en-US"/>
        </w:rPr>
        <w:t>70</w:t>
      </w:r>
      <w:r w:rsidRPr="00E4462A">
        <w:rPr>
          <w:lang w:val="en-US"/>
        </w:rPr>
        <w:t xml:space="preserve">, 4491-4506. 2006. </w:t>
      </w:r>
    </w:p>
    <w:p w14:paraId="52C6774B" w14:textId="77777777" w:rsidR="00C22E78" w:rsidRPr="00E4462A" w:rsidRDefault="00C22E78" w:rsidP="00C22E78">
      <w:pPr>
        <w:jc w:val="both"/>
        <w:rPr>
          <w:lang w:val="en-US"/>
        </w:rPr>
      </w:pPr>
    </w:p>
    <w:p w14:paraId="22DB4892" w14:textId="77777777" w:rsidR="00C22E78" w:rsidRPr="00E4462A" w:rsidRDefault="00C22E78" w:rsidP="00C22E78">
      <w:pPr>
        <w:jc w:val="both"/>
        <w:rPr>
          <w:lang w:val="en-US"/>
        </w:rPr>
      </w:pPr>
      <w:r w:rsidRPr="00E4462A">
        <w:rPr>
          <w:lang w:val="en-US"/>
        </w:rPr>
        <w:t xml:space="preserve">Martinez, A. T., Rencoret, J., Marques, G., Gutierrez, A., Ibarra, D., Jimenez-Barbero, J., del Rio, J. C.: Monolignol acylation and lignin structure in some nonwoody plants: A 2D NMR study. </w:t>
      </w:r>
      <w:r w:rsidRPr="00E4462A">
        <w:rPr>
          <w:i/>
          <w:lang w:val="en-US"/>
        </w:rPr>
        <w:t>Phytochemistry</w:t>
      </w:r>
      <w:r w:rsidRPr="00E4462A">
        <w:rPr>
          <w:lang w:val="en-US"/>
        </w:rPr>
        <w:t xml:space="preserve"> </w:t>
      </w:r>
      <w:r w:rsidRPr="00E4462A">
        <w:rPr>
          <w:b/>
          <w:lang w:val="en-US"/>
        </w:rPr>
        <w:t>69</w:t>
      </w:r>
      <w:r w:rsidRPr="00E4462A">
        <w:rPr>
          <w:lang w:val="en-US"/>
        </w:rPr>
        <w:t>, 2831-2843, 2008.</w:t>
      </w:r>
    </w:p>
    <w:p w14:paraId="517BD816" w14:textId="77777777" w:rsidR="00C22E78" w:rsidRPr="00E4462A" w:rsidRDefault="00C22E78" w:rsidP="00C22E78">
      <w:pPr>
        <w:jc w:val="both"/>
        <w:rPr>
          <w:lang w:val="en-US"/>
        </w:rPr>
      </w:pPr>
    </w:p>
    <w:p w14:paraId="171DB609" w14:textId="77777777" w:rsidR="00C22E78" w:rsidRPr="00E4462A" w:rsidRDefault="00C22E78" w:rsidP="00C22E78">
      <w:pPr>
        <w:autoSpaceDE w:val="0"/>
        <w:autoSpaceDN w:val="0"/>
        <w:adjustRightInd w:val="0"/>
        <w:jc w:val="both"/>
        <w:rPr>
          <w:lang w:val="en-US"/>
        </w:rPr>
      </w:pPr>
      <w:r w:rsidRPr="00E4462A">
        <w:rPr>
          <w:lang w:val="en-US"/>
        </w:rPr>
        <w:t xml:space="preserve">McCarthy, J. M., Gumbricht, T., McCarthy, T., Frost, P., Wessels, K. and Seidel, F.: Flooding patterns of the Okavango wetland in Botswana between 1972 and 2000, </w:t>
      </w:r>
      <w:r w:rsidRPr="00E4462A">
        <w:rPr>
          <w:i/>
          <w:lang w:val="en-US"/>
        </w:rPr>
        <w:t>Ambio</w:t>
      </w:r>
      <w:r w:rsidRPr="00E4462A">
        <w:rPr>
          <w:lang w:val="en-US"/>
        </w:rPr>
        <w:t xml:space="preserve"> </w:t>
      </w:r>
      <w:r w:rsidRPr="00E4462A">
        <w:rPr>
          <w:b/>
          <w:lang w:val="en-US"/>
        </w:rPr>
        <w:t>32</w:t>
      </w:r>
      <w:r w:rsidRPr="00E4462A">
        <w:rPr>
          <w:lang w:val="en-US"/>
        </w:rPr>
        <w:t>, 453–457, 2003.</w:t>
      </w:r>
    </w:p>
    <w:p w14:paraId="69DD3C47" w14:textId="77777777" w:rsidR="00C22E78" w:rsidRPr="00E4462A" w:rsidRDefault="00C22E78" w:rsidP="00C22E78">
      <w:pPr>
        <w:jc w:val="both"/>
        <w:rPr>
          <w:lang w:val="en-GB"/>
        </w:rPr>
      </w:pPr>
    </w:p>
    <w:p w14:paraId="675E54CB" w14:textId="77777777" w:rsidR="00C22E78" w:rsidRPr="00E4462A" w:rsidRDefault="00C22E78" w:rsidP="00C22E78">
      <w:pPr>
        <w:autoSpaceDE w:val="0"/>
        <w:autoSpaceDN w:val="0"/>
        <w:adjustRightInd w:val="0"/>
        <w:jc w:val="both"/>
        <w:rPr>
          <w:lang w:val="en-US"/>
        </w:rPr>
      </w:pPr>
      <w:r w:rsidRPr="00E4462A">
        <w:rPr>
          <w:lang w:val="en-US"/>
        </w:rPr>
        <w:t xml:space="preserve">McCaul, M. V., Sutton, D., Simpson, A. J., Spence, A., McNally, D. J., Moran, B.W., Goel, A., O’Connor, B., Hart, K. and Kelleher, B. P.: Composition of dissolved organic matter within a lacustrine environment, </w:t>
      </w:r>
      <w:r w:rsidRPr="00E4462A">
        <w:rPr>
          <w:i/>
          <w:iCs/>
          <w:lang w:val="en-US"/>
        </w:rPr>
        <w:t xml:space="preserve">Environmental Chemistry </w:t>
      </w:r>
      <w:r w:rsidRPr="00E4462A">
        <w:rPr>
          <w:b/>
          <w:iCs/>
          <w:lang w:val="en-US"/>
        </w:rPr>
        <w:t>8</w:t>
      </w:r>
      <w:r w:rsidRPr="00E4462A">
        <w:rPr>
          <w:lang w:val="en-US"/>
        </w:rPr>
        <w:t>, 146–154, 2011.</w:t>
      </w:r>
    </w:p>
    <w:p w14:paraId="28E7EA41" w14:textId="77777777" w:rsidR="00C22E78" w:rsidRPr="00E4462A" w:rsidRDefault="00C22E78" w:rsidP="00C22E78">
      <w:pPr>
        <w:autoSpaceDE w:val="0"/>
        <w:autoSpaceDN w:val="0"/>
        <w:adjustRightInd w:val="0"/>
        <w:jc w:val="both"/>
        <w:rPr>
          <w:lang w:val="en-US"/>
        </w:rPr>
      </w:pPr>
    </w:p>
    <w:p w14:paraId="641298C7" w14:textId="77777777" w:rsidR="00C22E78" w:rsidRPr="00E4462A" w:rsidRDefault="00C22E78" w:rsidP="00C22E78">
      <w:pPr>
        <w:autoSpaceDE w:val="0"/>
        <w:autoSpaceDN w:val="0"/>
        <w:adjustRightInd w:val="0"/>
        <w:jc w:val="both"/>
        <w:rPr>
          <w:lang w:val="en-US"/>
        </w:rPr>
      </w:pPr>
      <w:r w:rsidRPr="00E4462A">
        <w:rPr>
          <w:lang w:val="en-US"/>
        </w:rPr>
        <w:t>McKnight, D. M., Boyer, E. W., Westerhoff, P. K., Doran, P. T., Kulbe, T. and Andersen, D. T.: Spectorflourometric characterization of dissolved organic matter for indication of precursor organic material and aromaticity.</w:t>
      </w:r>
      <w:r w:rsidRPr="00E4462A">
        <w:rPr>
          <w:i/>
          <w:lang w:val="en-US"/>
        </w:rPr>
        <w:t xml:space="preserve"> Limnology &amp; Oceanography </w:t>
      </w:r>
      <w:r w:rsidRPr="00E4462A">
        <w:rPr>
          <w:lang w:val="en-US"/>
        </w:rPr>
        <w:t xml:space="preserve"> </w:t>
      </w:r>
      <w:r w:rsidRPr="00E4462A">
        <w:rPr>
          <w:b/>
          <w:lang w:val="en-US"/>
        </w:rPr>
        <w:t>46,</w:t>
      </w:r>
      <w:r w:rsidRPr="00E4462A">
        <w:rPr>
          <w:lang w:val="en-US"/>
        </w:rPr>
        <w:t xml:space="preserve"> 38–48. 2001.</w:t>
      </w:r>
    </w:p>
    <w:p w14:paraId="387BE9FA" w14:textId="77777777" w:rsidR="00C22E78" w:rsidRPr="00E4462A" w:rsidRDefault="00C22E78" w:rsidP="00C22E78">
      <w:pPr>
        <w:autoSpaceDE w:val="0"/>
        <w:autoSpaceDN w:val="0"/>
        <w:adjustRightInd w:val="0"/>
        <w:rPr>
          <w:lang w:val="en-US"/>
        </w:rPr>
      </w:pPr>
    </w:p>
    <w:p w14:paraId="04CBF3F1" w14:textId="77777777" w:rsidR="00C22E78" w:rsidRPr="00E4462A" w:rsidRDefault="00C22E78" w:rsidP="00C22E78">
      <w:pPr>
        <w:autoSpaceDE w:val="0"/>
        <w:autoSpaceDN w:val="0"/>
        <w:adjustRightInd w:val="0"/>
        <w:jc w:val="both"/>
        <w:rPr>
          <w:lang w:val="en-US"/>
        </w:rPr>
      </w:pPr>
      <w:r w:rsidRPr="00E4462A">
        <w:rPr>
          <w:lang w:val="en-US"/>
        </w:rPr>
        <w:t xml:space="preserve">Minor, E. C., Swenson, M., Mattson, B. M. and Oyler, A. R.: Structural characterization of dissolved organic matter: A review of current techniques for isolation and analysis. </w:t>
      </w:r>
      <w:r w:rsidRPr="00E4462A">
        <w:rPr>
          <w:i/>
          <w:lang w:val="en-US"/>
        </w:rPr>
        <w:t>Environmental Science: Processes and Impacts</w:t>
      </w:r>
      <w:r w:rsidRPr="00E4462A">
        <w:rPr>
          <w:lang w:val="en-US"/>
        </w:rPr>
        <w:t>, DOI: 10.1039/c4em00062e, 2014.</w:t>
      </w:r>
    </w:p>
    <w:p w14:paraId="1F5A090B" w14:textId="77777777" w:rsidR="00C22E78" w:rsidRPr="00E4462A" w:rsidRDefault="00C22E78" w:rsidP="00C22E78">
      <w:pPr>
        <w:autoSpaceDE w:val="0"/>
        <w:autoSpaceDN w:val="0"/>
        <w:adjustRightInd w:val="0"/>
        <w:jc w:val="both"/>
        <w:rPr>
          <w:lang w:val="en-US"/>
        </w:rPr>
      </w:pPr>
    </w:p>
    <w:p w14:paraId="5C19B014" w14:textId="77777777" w:rsidR="00C22E78" w:rsidRPr="00E4462A" w:rsidRDefault="00C22E78" w:rsidP="00C22E78">
      <w:pPr>
        <w:autoSpaceDE w:val="0"/>
        <w:autoSpaceDN w:val="0"/>
        <w:adjustRightInd w:val="0"/>
        <w:jc w:val="both"/>
        <w:rPr>
          <w:lang w:val="en-US"/>
        </w:rPr>
      </w:pPr>
      <w:r w:rsidRPr="00E4462A">
        <w:rPr>
          <w:lang w:val="en-US"/>
        </w:rPr>
        <w:t xml:space="preserve">Minor, E. C., Steinbring, C. J., Longnecker, K. and Kujawinski, E.B.: Characterization of dissolved organic matter in Lake Superior and its watershed using ultrahigh resolution mass spectrometry, </w:t>
      </w:r>
      <w:r w:rsidRPr="00E4462A">
        <w:rPr>
          <w:i/>
          <w:lang w:val="en-US"/>
        </w:rPr>
        <w:t>Organic Geochemistry</w:t>
      </w:r>
      <w:r w:rsidRPr="00E4462A">
        <w:rPr>
          <w:lang w:val="en-US"/>
        </w:rPr>
        <w:t xml:space="preserve">, </w:t>
      </w:r>
      <w:r w:rsidRPr="00E4462A">
        <w:rPr>
          <w:b/>
          <w:lang w:val="en-US"/>
        </w:rPr>
        <w:t>43</w:t>
      </w:r>
      <w:r w:rsidRPr="00E4462A">
        <w:rPr>
          <w:lang w:val="en-US"/>
        </w:rPr>
        <w:t>, 1-11, 2012.</w:t>
      </w:r>
    </w:p>
    <w:p w14:paraId="6084DB3C" w14:textId="77777777" w:rsidR="00C22E78" w:rsidRPr="00E4462A" w:rsidRDefault="00C22E78" w:rsidP="00C22E78">
      <w:pPr>
        <w:autoSpaceDE w:val="0"/>
        <w:autoSpaceDN w:val="0"/>
        <w:adjustRightInd w:val="0"/>
        <w:jc w:val="both"/>
        <w:rPr>
          <w:rFonts w:ascii="Verdana" w:hAnsi="Verdana"/>
          <w:lang w:val="en-US"/>
        </w:rPr>
      </w:pPr>
    </w:p>
    <w:p w14:paraId="63DB832F" w14:textId="77777777" w:rsidR="00C22E78" w:rsidRPr="00E4462A" w:rsidRDefault="00C22E78" w:rsidP="00C22E78">
      <w:pPr>
        <w:autoSpaceDE w:val="0"/>
        <w:autoSpaceDN w:val="0"/>
        <w:adjustRightInd w:val="0"/>
        <w:jc w:val="both"/>
        <w:rPr>
          <w:lang w:val="en-US"/>
        </w:rPr>
      </w:pPr>
      <w:r w:rsidRPr="00E4462A">
        <w:rPr>
          <w:lang w:val="en-US"/>
        </w:rPr>
        <w:t xml:space="preserve">Mladenov, N., McKnight, D. M., Macko, S. A., Norris, M., Cory, R. M. and Ramberg, L.: Chemical characterization of DOM in channels of a seasonal wetland. </w:t>
      </w:r>
      <w:r w:rsidRPr="00E4462A">
        <w:rPr>
          <w:i/>
          <w:lang w:val="en-US"/>
        </w:rPr>
        <w:t>Aquatic Sciences</w:t>
      </w:r>
      <w:r w:rsidRPr="00E4462A">
        <w:rPr>
          <w:lang w:val="en-US"/>
        </w:rPr>
        <w:t xml:space="preserve"> </w:t>
      </w:r>
      <w:r w:rsidRPr="00E4462A">
        <w:rPr>
          <w:b/>
          <w:lang w:val="en-US"/>
        </w:rPr>
        <w:t>69</w:t>
      </w:r>
      <w:r w:rsidRPr="00E4462A">
        <w:rPr>
          <w:lang w:val="en-US"/>
        </w:rPr>
        <w:t>, 456–471. 2007.</w:t>
      </w:r>
    </w:p>
    <w:p w14:paraId="77447B9C" w14:textId="77777777" w:rsidR="00C22E78" w:rsidRPr="00E4462A" w:rsidRDefault="00C22E78" w:rsidP="00C22E78">
      <w:pPr>
        <w:autoSpaceDE w:val="0"/>
        <w:autoSpaceDN w:val="0"/>
        <w:adjustRightInd w:val="0"/>
        <w:jc w:val="both"/>
        <w:rPr>
          <w:lang w:val="en-US"/>
        </w:rPr>
      </w:pPr>
    </w:p>
    <w:p w14:paraId="19471233" w14:textId="77777777" w:rsidR="00C22E78" w:rsidRPr="00E4462A" w:rsidRDefault="00C22E78" w:rsidP="00C22E78">
      <w:pPr>
        <w:autoSpaceDE w:val="0"/>
        <w:autoSpaceDN w:val="0"/>
        <w:adjustRightInd w:val="0"/>
        <w:jc w:val="both"/>
        <w:rPr>
          <w:lang w:val="en-US"/>
        </w:rPr>
      </w:pPr>
      <w:r w:rsidRPr="00E4462A">
        <w:rPr>
          <w:lang w:val="en-US"/>
        </w:rPr>
        <w:t xml:space="preserve">Muller, H., Adam, F. M., Panda, S. K., Al-Jawad, H.-H., Al-Hajji, A. A.: Evaluation of Quantitative Sulphur Speciation in Gas Oils by Fourier Transform Ion Cyclotron Resonance Mass Spectrometry: Validation by Comprehensive Two-Dimensional Gas Chromatography. </w:t>
      </w:r>
      <w:r w:rsidRPr="00E4462A">
        <w:rPr>
          <w:i/>
          <w:lang w:val="en-US"/>
        </w:rPr>
        <w:t>J. Am. Mass Spectrom.</w:t>
      </w:r>
      <w:r w:rsidRPr="00E4462A">
        <w:rPr>
          <w:lang w:val="en-US"/>
        </w:rPr>
        <w:t xml:space="preserve"> </w:t>
      </w:r>
      <w:r w:rsidRPr="00E4462A">
        <w:rPr>
          <w:b/>
          <w:lang w:val="en-US"/>
        </w:rPr>
        <w:t>23</w:t>
      </w:r>
      <w:r w:rsidRPr="00E4462A">
        <w:rPr>
          <w:lang w:val="en-US"/>
        </w:rPr>
        <w:t>, 806-815, 2012.</w:t>
      </w:r>
    </w:p>
    <w:p w14:paraId="5691F230" w14:textId="77777777" w:rsidR="00C22E78" w:rsidRPr="00E4462A" w:rsidRDefault="00C22E78" w:rsidP="00C22E78">
      <w:pPr>
        <w:autoSpaceDE w:val="0"/>
        <w:autoSpaceDN w:val="0"/>
        <w:adjustRightInd w:val="0"/>
        <w:jc w:val="both"/>
        <w:rPr>
          <w:lang w:val="en-GB"/>
        </w:rPr>
      </w:pPr>
      <w:r w:rsidRPr="00E4462A">
        <w:rPr>
          <w:lang w:val="en-US"/>
        </w:rPr>
        <w:t xml:space="preserve"> </w:t>
      </w:r>
    </w:p>
    <w:p w14:paraId="3804F61A" w14:textId="77777777" w:rsidR="00C22E78" w:rsidRPr="00E4462A" w:rsidRDefault="00C22E78" w:rsidP="00C22E78">
      <w:pPr>
        <w:autoSpaceDE w:val="0"/>
        <w:autoSpaceDN w:val="0"/>
        <w:adjustRightInd w:val="0"/>
        <w:jc w:val="both"/>
        <w:rPr>
          <w:lang w:val="en-US"/>
        </w:rPr>
      </w:pPr>
      <w:r w:rsidRPr="00E4462A">
        <w:rPr>
          <w:lang w:val="en-US"/>
        </w:rPr>
        <w:t xml:space="preserve">Ohno, T.: Fluorescence inner-filtering correction for determining the humification index of dissolved organic matter. </w:t>
      </w:r>
      <w:r w:rsidRPr="00E4462A">
        <w:rPr>
          <w:i/>
          <w:lang w:val="en-US"/>
        </w:rPr>
        <w:t>Environmental Science and Technology</w:t>
      </w:r>
      <w:r w:rsidRPr="00E4462A">
        <w:rPr>
          <w:lang w:val="en-US"/>
        </w:rPr>
        <w:t xml:space="preserve"> </w:t>
      </w:r>
      <w:r w:rsidRPr="00E4462A">
        <w:rPr>
          <w:b/>
          <w:lang w:val="en-US"/>
        </w:rPr>
        <w:t>36</w:t>
      </w:r>
      <w:r w:rsidRPr="00E4462A">
        <w:rPr>
          <w:lang w:val="en-US"/>
        </w:rPr>
        <w:t>, 742–746, 2002.</w:t>
      </w:r>
    </w:p>
    <w:p w14:paraId="3162150B" w14:textId="77777777" w:rsidR="00C22E78" w:rsidRPr="00E4462A" w:rsidRDefault="00C22E78" w:rsidP="00C22E78">
      <w:pPr>
        <w:jc w:val="both"/>
        <w:rPr>
          <w:lang w:val="en-GB"/>
        </w:rPr>
      </w:pPr>
    </w:p>
    <w:p w14:paraId="1ACE196B" w14:textId="77777777" w:rsidR="00C22E78" w:rsidRPr="00E4462A" w:rsidRDefault="00C22E78" w:rsidP="00C22E78">
      <w:pPr>
        <w:jc w:val="both"/>
        <w:rPr>
          <w:lang w:val="en-US"/>
        </w:rPr>
      </w:pPr>
      <w:r w:rsidRPr="00E4462A">
        <w:rPr>
          <w:lang w:val="en-US"/>
        </w:rPr>
        <w:lastRenderedPageBreak/>
        <w:t xml:space="preserve">Panagiotopoulos, C., Repeta, D. J. and Johnson, C. G.: Characterization of methyl sugars, 3-deoxysugars and methyl deoxysugars in marine high molecular weight dissolved organic matter, </w:t>
      </w:r>
      <w:r w:rsidRPr="00E4462A">
        <w:rPr>
          <w:i/>
          <w:lang w:val="en-US"/>
        </w:rPr>
        <w:t>Organic Geochemistry</w:t>
      </w:r>
      <w:r w:rsidRPr="00E4462A">
        <w:rPr>
          <w:lang w:val="en-US"/>
        </w:rPr>
        <w:t xml:space="preserve"> </w:t>
      </w:r>
      <w:r w:rsidRPr="00E4462A">
        <w:rPr>
          <w:b/>
          <w:lang w:val="en-US"/>
        </w:rPr>
        <w:t>38</w:t>
      </w:r>
      <w:r w:rsidRPr="00E4462A">
        <w:rPr>
          <w:lang w:val="en-US"/>
        </w:rPr>
        <w:t>, 884-896. 2007.</w:t>
      </w:r>
    </w:p>
    <w:p w14:paraId="6FB1F037" w14:textId="77777777" w:rsidR="00C22E78" w:rsidRPr="00E4462A" w:rsidRDefault="00C22E78" w:rsidP="00C22E78">
      <w:pPr>
        <w:jc w:val="both"/>
        <w:rPr>
          <w:lang w:val="en-US"/>
        </w:rPr>
      </w:pPr>
    </w:p>
    <w:p w14:paraId="18595FB9" w14:textId="77777777" w:rsidR="00C22E78" w:rsidRPr="00E4462A" w:rsidRDefault="00C22E78" w:rsidP="00C22E78">
      <w:pPr>
        <w:jc w:val="both"/>
        <w:rPr>
          <w:noProof/>
          <w:lang w:val="en-US"/>
        </w:rPr>
      </w:pPr>
      <w:r w:rsidRPr="00E4462A">
        <w:rPr>
          <w:noProof/>
          <w:lang w:val="en-US"/>
        </w:rPr>
        <w:t xml:space="preserve">Perdue, E.M., Hertkorn, N. and Kettrup, A.: Substitution patterns in aromatic rings by increment analysis. Model development and application to natural organic matter. </w:t>
      </w:r>
      <w:r w:rsidRPr="00E4462A">
        <w:rPr>
          <w:i/>
          <w:lang w:val="en-US"/>
        </w:rPr>
        <w:t>Analytical Chemistry</w:t>
      </w:r>
      <w:r w:rsidRPr="00E4462A">
        <w:rPr>
          <w:noProof/>
          <w:lang w:val="en-US"/>
        </w:rPr>
        <w:t xml:space="preserve"> </w:t>
      </w:r>
      <w:r w:rsidRPr="00E4462A">
        <w:rPr>
          <w:b/>
          <w:noProof/>
          <w:lang w:val="en-US"/>
        </w:rPr>
        <w:t>79</w:t>
      </w:r>
      <w:r w:rsidRPr="00E4462A">
        <w:rPr>
          <w:noProof/>
          <w:lang w:val="en-US"/>
        </w:rPr>
        <w:t>, 1010-1021, 2007.</w:t>
      </w:r>
    </w:p>
    <w:p w14:paraId="37BA0BDB" w14:textId="77777777" w:rsidR="00C22E78" w:rsidRPr="00E4462A" w:rsidRDefault="00C22E78" w:rsidP="00C22E78">
      <w:pPr>
        <w:jc w:val="both"/>
        <w:rPr>
          <w:noProof/>
          <w:lang w:val="en-US"/>
        </w:rPr>
      </w:pPr>
    </w:p>
    <w:p w14:paraId="7765AD9E" w14:textId="77777777" w:rsidR="00C22E78" w:rsidRPr="00E4462A" w:rsidRDefault="00C22E78" w:rsidP="00C22E78">
      <w:pPr>
        <w:jc w:val="both"/>
        <w:rPr>
          <w:noProof/>
          <w:lang w:val="en-US"/>
        </w:rPr>
      </w:pPr>
      <w:r w:rsidRPr="00E4462A">
        <w:rPr>
          <w:noProof/>
          <w:lang w:val="en-US"/>
        </w:rPr>
        <w:t xml:space="preserve">Perdue, E.M. and Ritchie, J. D.: Dissolved Organic Matter in Fresh Waters. In </w:t>
      </w:r>
      <w:r w:rsidRPr="00E4462A">
        <w:rPr>
          <w:i/>
          <w:noProof/>
          <w:lang w:val="en-US"/>
        </w:rPr>
        <w:t>Treatise on Geochemistry</w:t>
      </w:r>
      <w:r w:rsidRPr="00E4462A">
        <w:rPr>
          <w:noProof/>
          <w:lang w:val="en-US"/>
        </w:rPr>
        <w:t xml:space="preserve"> (eds. H.D. Holland and K.K. Tuerekian); Volume </w:t>
      </w:r>
      <w:r w:rsidRPr="00E4462A">
        <w:rPr>
          <w:b/>
          <w:noProof/>
          <w:lang w:val="en-US"/>
        </w:rPr>
        <w:t>5</w:t>
      </w:r>
      <w:r w:rsidRPr="00E4462A">
        <w:rPr>
          <w:noProof/>
          <w:lang w:val="en-US"/>
        </w:rPr>
        <w:t xml:space="preserve">: </w:t>
      </w:r>
      <w:r w:rsidRPr="00E4462A">
        <w:rPr>
          <w:i/>
          <w:noProof/>
          <w:lang w:val="en-US"/>
        </w:rPr>
        <w:t>Surface and Ground Water; Weathering, Erosion and Soils</w:t>
      </w:r>
      <w:r w:rsidRPr="00E4462A">
        <w:rPr>
          <w:noProof/>
          <w:lang w:val="en-US"/>
        </w:rPr>
        <w:t xml:space="preserve"> (ed. J.I. Drever), 273-318, 2003.</w:t>
      </w:r>
    </w:p>
    <w:p w14:paraId="12C2772B" w14:textId="77777777" w:rsidR="00C22E78" w:rsidRPr="00E4462A" w:rsidRDefault="00C22E78" w:rsidP="00C22E78">
      <w:pPr>
        <w:jc w:val="both"/>
        <w:rPr>
          <w:noProof/>
          <w:lang w:val="en-US"/>
        </w:rPr>
      </w:pPr>
    </w:p>
    <w:p w14:paraId="49626E55" w14:textId="77777777" w:rsidR="00C22E78" w:rsidRPr="00E4462A" w:rsidRDefault="00C22E78" w:rsidP="00C22E78">
      <w:pPr>
        <w:jc w:val="both"/>
        <w:rPr>
          <w:noProof/>
          <w:lang w:val="en-US"/>
        </w:rPr>
      </w:pPr>
      <w:r w:rsidRPr="00E4462A">
        <w:rPr>
          <w:noProof/>
          <w:lang w:val="en-US"/>
        </w:rPr>
        <w:t xml:space="preserve">Purcell, J. M., Jayal, P., Kim, D.-G., Rodgers, R. P., Hendrickson, C. L., Marshall, A. G.: Sulphur Speciation in Petroleum: Atmospheric Pressure Photoionization or Chemical Derivatization and Electrospray Ionization Fourier Transform Ion Cyclotron Resonance Mass Spectrometry, </w:t>
      </w:r>
      <w:r w:rsidRPr="00E4462A">
        <w:rPr>
          <w:i/>
          <w:noProof/>
          <w:lang w:val="en-US"/>
        </w:rPr>
        <w:t>Energy &amp; Fuels</w:t>
      </w:r>
      <w:r w:rsidRPr="00E4462A">
        <w:rPr>
          <w:noProof/>
          <w:lang w:val="en-US"/>
        </w:rPr>
        <w:t xml:space="preserve"> </w:t>
      </w:r>
      <w:r w:rsidRPr="00E4462A">
        <w:rPr>
          <w:b/>
          <w:noProof/>
          <w:lang w:val="en-US"/>
        </w:rPr>
        <w:t>21</w:t>
      </w:r>
      <w:r w:rsidRPr="00E4462A">
        <w:rPr>
          <w:noProof/>
          <w:lang w:val="en-US"/>
        </w:rPr>
        <w:t>, 2869-2874, 2007.</w:t>
      </w:r>
    </w:p>
    <w:p w14:paraId="602F982E" w14:textId="77777777" w:rsidR="00C22E78" w:rsidRPr="00E4462A" w:rsidRDefault="00C22E78" w:rsidP="00C22E78">
      <w:pPr>
        <w:jc w:val="both"/>
        <w:rPr>
          <w:noProof/>
          <w:lang w:val="en-US"/>
        </w:rPr>
      </w:pPr>
    </w:p>
    <w:p w14:paraId="1CEE0CBB" w14:textId="77777777" w:rsidR="00C22E78" w:rsidRPr="00E4462A" w:rsidRDefault="00C22E78" w:rsidP="00C22E78">
      <w:pPr>
        <w:jc w:val="both"/>
        <w:rPr>
          <w:noProof/>
          <w:lang w:val="en-US"/>
        </w:rPr>
      </w:pPr>
      <w:r w:rsidRPr="00E4462A">
        <w:rPr>
          <w:noProof/>
          <w:lang w:val="en-US"/>
        </w:rPr>
        <w:t xml:space="preserve">Ralph, J., Hatfield, R. D., Piquemal, J., Yahiaou,i N., Pean, M., Lapierre, C. and Boudet, A. M.: NMR characterization of altered lignins extracted from tobacco plants down-regulated for lignification enzymes cinnamyl-alcohol dehydrogenase and cinnamoyl-CoA reductase, </w:t>
      </w:r>
      <w:r w:rsidRPr="00E4462A">
        <w:rPr>
          <w:i/>
          <w:noProof/>
          <w:lang w:val="en-US"/>
        </w:rPr>
        <w:t>P. Natl. Acad. Sci. USA</w:t>
      </w:r>
      <w:r w:rsidRPr="00E4462A">
        <w:rPr>
          <w:noProof/>
          <w:lang w:val="en-US"/>
        </w:rPr>
        <w:t xml:space="preserve"> </w:t>
      </w:r>
      <w:r w:rsidRPr="00E4462A">
        <w:rPr>
          <w:b/>
          <w:noProof/>
          <w:lang w:val="en-US"/>
        </w:rPr>
        <w:t>95</w:t>
      </w:r>
      <w:r w:rsidRPr="00E4462A">
        <w:rPr>
          <w:noProof/>
          <w:lang w:val="en-US"/>
        </w:rPr>
        <w:t>, 12803-12808, 1998.</w:t>
      </w:r>
    </w:p>
    <w:p w14:paraId="736B2A9C" w14:textId="77777777" w:rsidR="00C22E78" w:rsidRPr="00E4462A" w:rsidRDefault="00C22E78" w:rsidP="00C22E78">
      <w:pPr>
        <w:jc w:val="both"/>
        <w:rPr>
          <w:noProof/>
          <w:lang w:val="en-US"/>
        </w:rPr>
      </w:pPr>
    </w:p>
    <w:p w14:paraId="714EAA37" w14:textId="77777777" w:rsidR="00C22E78" w:rsidRPr="00E4462A" w:rsidRDefault="00C22E78" w:rsidP="00C22E78">
      <w:pPr>
        <w:autoSpaceDE w:val="0"/>
        <w:autoSpaceDN w:val="0"/>
        <w:adjustRightInd w:val="0"/>
        <w:jc w:val="both"/>
        <w:rPr>
          <w:lang w:val="en-US"/>
        </w:rPr>
      </w:pPr>
      <w:r w:rsidRPr="00E4462A">
        <w:rPr>
          <w:lang w:val="en-US"/>
        </w:rPr>
        <w:t xml:space="preserve">Repeta, D. J., Quan, T. M., Aluwihare, L. I. and Accardi, A.: Chemical characterization of high molecular weight dissolved organic matter in fresh and marine waters. </w:t>
      </w:r>
      <w:r w:rsidRPr="00E4462A">
        <w:rPr>
          <w:i/>
          <w:noProof/>
          <w:lang w:val="en-US"/>
        </w:rPr>
        <w:t>Geochimica et Cosmochimica Acta</w:t>
      </w:r>
      <w:r w:rsidRPr="00E4462A">
        <w:rPr>
          <w:noProof/>
          <w:lang w:val="en-US"/>
        </w:rPr>
        <w:t xml:space="preserve"> </w:t>
      </w:r>
      <w:r w:rsidRPr="00E4462A">
        <w:rPr>
          <w:b/>
          <w:lang w:val="en-US"/>
        </w:rPr>
        <w:t>66</w:t>
      </w:r>
      <w:r w:rsidRPr="00E4462A">
        <w:rPr>
          <w:lang w:val="en-US"/>
        </w:rPr>
        <w:t>, 955–962, 2002.</w:t>
      </w:r>
    </w:p>
    <w:p w14:paraId="71E4F072" w14:textId="77777777" w:rsidR="00C22E78" w:rsidRPr="00E4462A" w:rsidRDefault="00C22E78" w:rsidP="00C22E78">
      <w:pPr>
        <w:jc w:val="both"/>
        <w:rPr>
          <w:lang w:val="en-US"/>
        </w:rPr>
      </w:pPr>
    </w:p>
    <w:p w14:paraId="76E937FA" w14:textId="77777777" w:rsidR="00C22E78" w:rsidRPr="00E4462A" w:rsidRDefault="00C22E78" w:rsidP="00C22E78">
      <w:pPr>
        <w:jc w:val="both"/>
        <w:rPr>
          <w:lang w:val="en-GB"/>
        </w:rPr>
      </w:pPr>
      <w:r w:rsidRPr="00E4462A">
        <w:rPr>
          <w:lang w:val="en-US"/>
        </w:rPr>
        <w:t xml:space="preserve">Schmitt-Kopplin, Ph., Gelencsér, A., Dabek-Zlotorzynska, E., Kiss, G., Hertkorn, N., Harir, M., Hong, Y. and Gebefügi, I.: </w:t>
      </w:r>
      <w:r w:rsidRPr="00E4462A">
        <w:rPr>
          <w:lang w:val="en"/>
        </w:rPr>
        <w:t xml:space="preserve">Analysis of the unresolved organic fraction in atmospheric aerosols with ultrahigh resolution mass spectrometry and nuclear magnetic resonance spectroscopy: Organosulfates as photochemical smog constituents, </w:t>
      </w:r>
      <w:r w:rsidRPr="00E4462A">
        <w:rPr>
          <w:i/>
          <w:lang w:val="en-US"/>
        </w:rPr>
        <w:t>Analytical Chemistry</w:t>
      </w:r>
      <w:r w:rsidRPr="00E4462A">
        <w:rPr>
          <w:lang w:val="en"/>
        </w:rPr>
        <w:t xml:space="preserve"> </w:t>
      </w:r>
      <w:r w:rsidRPr="00E4462A">
        <w:rPr>
          <w:b/>
          <w:lang w:val="en"/>
        </w:rPr>
        <w:t>82</w:t>
      </w:r>
      <w:r w:rsidRPr="00E4462A">
        <w:rPr>
          <w:lang w:val="en"/>
        </w:rPr>
        <w:t>, 8017–8026,</w:t>
      </w:r>
      <w:r w:rsidRPr="00E4462A">
        <w:rPr>
          <w:lang w:val="en-US"/>
        </w:rPr>
        <w:t xml:space="preserve"> 2010.</w:t>
      </w:r>
    </w:p>
    <w:p w14:paraId="6C1567AE" w14:textId="77777777" w:rsidR="00C22E78" w:rsidRPr="00E4462A" w:rsidRDefault="00C22E78" w:rsidP="00C22E78">
      <w:pPr>
        <w:jc w:val="both"/>
        <w:rPr>
          <w:lang w:val="en-GB"/>
        </w:rPr>
      </w:pPr>
    </w:p>
    <w:p w14:paraId="0C3773C7" w14:textId="77777777" w:rsidR="00C22E78" w:rsidRPr="00E4462A" w:rsidRDefault="00C22E78" w:rsidP="00C22E78">
      <w:pPr>
        <w:rPr>
          <w:lang w:val="en-US"/>
        </w:rPr>
      </w:pPr>
      <w:r w:rsidRPr="00E4462A">
        <w:rPr>
          <w:lang w:val="en-US"/>
        </w:rPr>
        <w:t xml:space="preserve">Sleighter, R. L. and Hatcher, P. G.: The application of electrospray ionization coupled to ultrahigh resolution mass spectrometry for the molecular characterization of natural organic matter, </w:t>
      </w:r>
      <w:r w:rsidRPr="00E4462A">
        <w:rPr>
          <w:i/>
          <w:lang w:val="en-US"/>
        </w:rPr>
        <w:t>J. Mass Spectrom.</w:t>
      </w:r>
      <w:r w:rsidRPr="00E4462A">
        <w:rPr>
          <w:lang w:val="en-US"/>
        </w:rPr>
        <w:t xml:space="preserve"> </w:t>
      </w:r>
      <w:r w:rsidRPr="00E4462A">
        <w:rPr>
          <w:b/>
          <w:lang w:val="en-US"/>
        </w:rPr>
        <w:t>42</w:t>
      </w:r>
      <w:r w:rsidRPr="00E4462A">
        <w:rPr>
          <w:lang w:val="en-US"/>
        </w:rPr>
        <w:t>, 559-574, 2007.</w:t>
      </w:r>
    </w:p>
    <w:p w14:paraId="46614C9E" w14:textId="77777777" w:rsidR="00C22E78" w:rsidRPr="00E4462A" w:rsidRDefault="00C22E78" w:rsidP="00C22E78">
      <w:pPr>
        <w:jc w:val="both"/>
        <w:rPr>
          <w:lang w:val="en-US"/>
        </w:rPr>
      </w:pPr>
    </w:p>
    <w:p w14:paraId="1DC53380" w14:textId="77777777" w:rsidR="00C22E78" w:rsidRPr="00E4462A" w:rsidRDefault="00C22E78" w:rsidP="00C22E78">
      <w:pPr>
        <w:jc w:val="both"/>
        <w:rPr>
          <w:lang w:val="en-US"/>
        </w:rPr>
      </w:pPr>
      <w:r w:rsidRPr="00E4462A">
        <w:rPr>
          <w:lang w:val="en-US"/>
        </w:rPr>
        <w:t xml:space="preserve">Spencer, R. G. M., Hernes, P. J., Aufdenkampe, A. K., Baker, A., Gulliver, P., Stubbins, A., Aiken, G., Dyda, R. Y., Butler, K. D., Mwambai, V. L., Mangangu, A. M., Wabakanghanzi, J. N. and Six, J.: An initial investigation into the organic matter biogeochemistry of the Congo River. </w:t>
      </w:r>
      <w:r w:rsidRPr="00E4462A">
        <w:rPr>
          <w:i/>
          <w:noProof/>
          <w:lang w:val="en-US"/>
        </w:rPr>
        <w:t>Geochimica et Cosmochimica Acta</w:t>
      </w:r>
      <w:r w:rsidRPr="00E4462A">
        <w:rPr>
          <w:noProof/>
          <w:lang w:val="en-US"/>
        </w:rPr>
        <w:t xml:space="preserve"> </w:t>
      </w:r>
      <w:r w:rsidRPr="00E4462A">
        <w:rPr>
          <w:b/>
          <w:lang w:val="en-US"/>
        </w:rPr>
        <w:t>84</w:t>
      </w:r>
      <w:r w:rsidRPr="00E4462A">
        <w:rPr>
          <w:lang w:val="en-US"/>
        </w:rPr>
        <w:t>, 614-626, 2012.</w:t>
      </w:r>
    </w:p>
    <w:p w14:paraId="315570C5" w14:textId="77777777" w:rsidR="00C22E78" w:rsidRPr="00E4462A" w:rsidRDefault="00C22E78" w:rsidP="00C22E78">
      <w:pPr>
        <w:jc w:val="both"/>
        <w:rPr>
          <w:lang w:val="en-GB"/>
        </w:rPr>
      </w:pPr>
    </w:p>
    <w:p w14:paraId="35D4030B" w14:textId="77777777" w:rsidR="00C22E78" w:rsidRPr="00E4462A" w:rsidRDefault="00C22E78" w:rsidP="00C22E78">
      <w:pPr>
        <w:rPr>
          <w:lang w:val="en-US"/>
        </w:rPr>
      </w:pPr>
      <w:r w:rsidRPr="00E4462A">
        <w:rPr>
          <w:lang w:val="en-US"/>
        </w:rPr>
        <w:t xml:space="preserve">Stubbins, A., Lapierre, J.-F., Berggren, M., Prairie, Y. T., Dittmar, T. and del Giorgio P.A.: What’s in an EEM? Molecular signatures associated with dissolved organic fluorescence in boreal Canada, </w:t>
      </w:r>
      <w:r w:rsidRPr="00E4462A">
        <w:rPr>
          <w:i/>
          <w:lang w:val="en-US"/>
        </w:rPr>
        <w:t>Environ. Sci. Technol.</w:t>
      </w:r>
      <w:r w:rsidRPr="00E4462A">
        <w:rPr>
          <w:lang w:val="en-US"/>
        </w:rPr>
        <w:t xml:space="preserve"> </w:t>
      </w:r>
      <w:r w:rsidRPr="00E4462A">
        <w:rPr>
          <w:b/>
          <w:lang w:val="en-US"/>
        </w:rPr>
        <w:t>48</w:t>
      </w:r>
      <w:r w:rsidRPr="00E4462A">
        <w:rPr>
          <w:lang w:val="en-US"/>
        </w:rPr>
        <w:t>, 10598-10606, 2014.</w:t>
      </w:r>
    </w:p>
    <w:p w14:paraId="21858FCB" w14:textId="77777777" w:rsidR="00C22E78" w:rsidRPr="00E4462A" w:rsidRDefault="00C22E78" w:rsidP="00C22E78">
      <w:pPr>
        <w:jc w:val="both"/>
        <w:rPr>
          <w:lang w:val="en-US"/>
        </w:rPr>
      </w:pPr>
    </w:p>
    <w:p w14:paraId="1BEA2D93" w14:textId="77777777" w:rsidR="00C22E78" w:rsidRPr="00E4462A" w:rsidRDefault="00C22E78" w:rsidP="00C22E78">
      <w:pPr>
        <w:jc w:val="both"/>
        <w:rPr>
          <w:lang w:val="en-US"/>
        </w:rPr>
      </w:pPr>
      <w:r w:rsidRPr="00E4462A">
        <w:rPr>
          <w:lang w:val="en-US"/>
        </w:rPr>
        <w:t xml:space="preserve">Stubbins, A., Niggemann, J. and Dittmar, T.: Photo-lability of deep ocean dissolved black carbon, </w:t>
      </w:r>
      <w:r w:rsidRPr="00E4462A">
        <w:rPr>
          <w:i/>
          <w:lang w:val="en-US"/>
        </w:rPr>
        <w:t>Biogeosciences Discussion</w:t>
      </w:r>
      <w:r w:rsidRPr="00E4462A">
        <w:rPr>
          <w:lang w:val="en-US"/>
        </w:rPr>
        <w:t xml:space="preserve"> </w:t>
      </w:r>
      <w:r w:rsidRPr="00E4462A">
        <w:rPr>
          <w:b/>
          <w:lang w:val="en-US"/>
        </w:rPr>
        <w:t>9</w:t>
      </w:r>
      <w:r w:rsidRPr="00E4462A">
        <w:rPr>
          <w:lang w:val="en-US"/>
        </w:rPr>
        <w:t>, 485–505, 2012.</w:t>
      </w:r>
    </w:p>
    <w:p w14:paraId="01E3172E" w14:textId="77777777" w:rsidR="00C22E78" w:rsidRPr="00E4462A" w:rsidRDefault="00C22E78" w:rsidP="00C22E78">
      <w:pPr>
        <w:jc w:val="both"/>
        <w:rPr>
          <w:lang w:val="en-US"/>
        </w:rPr>
      </w:pPr>
    </w:p>
    <w:p w14:paraId="7FFCEAB7" w14:textId="77777777" w:rsidR="00C22E78" w:rsidRPr="00E4462A" w:rsidRDefault="00C22E78" w:rsidP="00C22E78">
      <w:pPr>
        <w:contextualSpacing/>
        <w:rPr>
          <w:lang w:val="en-US"/>
        </w:rPr>
      </w:pPr>
      <w:r w:rsidRPr="00E4462A">
        <w:rPr>
          <w:lang w:val="en-US"/>
        </w:rPr>
        <w:t xml:space="preserve">Tfaily, M. M., Corbett, J. E., Lin, X., Chanton, J. P., Glaser, P. H., Cawley, K. M., Jaffé, R. and Cooper, W. T.: Variations in the composition of porewater dissolved organic matter across ecological and hydrological gradients in a northern peatland, </w:t>
      </w:r>
      <w:r w:rsidRPr="00E4462A">
        <w:rPr>
          <w:i/>
          <w:lang w:val="en-US"/>
        </w:rPr>
        <w:t>Photochem. and Photobiol.</w:t>
      </w:r>
      <w:r w:rsidRPr="00E4462A">
        <w:rPr>
          <w:lang w:val="en-US"/>
        </w:rPr>
        <w:t xml:space="preserve"> </w:t>
      </w:r>
      <w:r w:rsidRPr="00E4462A">
        <w:rPr>
          <w:b/>
          <w:lang w:val="en-US"/>
        </w:rPr>
        <w:t>91</w:t>
      </w:r>
      <w:r w:rsidRPr="00E4462A">
        <w:rPr>
          <w:lang w:val="en-US"/>
        </w:rPr>
        <w:t xml:space="preserve">, 684-695, 2015. </w:t>
      </w:r>
    </w:p>
    <w:p w14:paraId="24C578BA" w14:textId="77777777" w:rsidR="00C22E78" w:rsidRPr="00E4462A" w:rsidRDefault="00C22E78" w:rsidP="00C22E78">
      <w:pPr>
        <w:contextualSpacing/>
        <w:jc w:val="both"/>
        <w:rPr>
          <w:lang w:val="en-US"/>
        </w:rPr>
      </w:pPr>
    </w:p>
    <w:p w14:paraId="03F8BCF9" w14:textId="2C0E044A" w:rsidR="00FC5AF8" w:rsidRPr="00E4462A" w:rsidRDefault="00FC5AF8" w:rsidP="00FC5AF8">
      <w:pPr>
        <w:contextualSpacing/>
        <w:rPr>
          <w:lang w:val="en-US"/>
        </w:rPr>
      </w:pPr>
      <w:r w:rsidRPr="00E4462A">
        <w:rPr>
          <w:lang w:val="en-US"/>
        </w:rPr>
        <w:t xml:space="preserve">Wagner, S., Jaffé, R., Cawley, K., Dittmar, T. and Stubbins, A.: Associations between the molecular and optical properties of dissolved organic matter in the Florida Everglades: a model coastal wetland system. </w:t>
      </w:r>
      <w:r w:rsidRPr="00E4462A">
        <w:rPr>
          <w:i/>
          <w:kern w:val="2"/>
          <w:lang w:val="en-US"/>
        </w:rPr>
        <w:t xml:space="preserve">Frontiers in Marine Biogeochemistry. </w:t>
      </w:r>
      <w:r w:rsidRPr="00E4462A">
        <w:rPr>
          <w:b/>
          <w:kern w:val="2"/>
          <w:lang w:val="en-US"/>
        </w:rPr>
        <w:t>3</w:t>
      </w:r>
      <w:r w:rsidR="00A762C9" w:rsidRPr="00E4462A">
        <w:rPr>
          <w:kern w:val="2"/>
          <w:lang w:val="en-US"/>
        </w:rPr>
        <w:t xml:space="preserve"> (</w:t>
      </w:r>
      <w:r w:rsidRPr="00E4462A">
        <w:rPr>
          <w:kern w:val="2"/>
          <w:lang w:val="en-US"/>
        </w:rPr>
        <w:t>66</w:t>
      </w:r>
      <w:r w:rsidR="00A762C9" w:rsidRPr="00E4462A">
        <w:rPr>
          <w:kern w:val="2"/>
          <w:lang w:val="en-US"/>
        </w:rPr>
        <w:t xml:space="preserve">), </w:t>
      </w:r>
      <w:r w:rsidRPr="00E4462A">
        <w:rPr>
          <w:kern w:val="2"/>
          <w:lang w:val="en-US"/>
        </w:rPr>
        <w:t xml:space="preserve"> DOI:10.3389/fchem.2015.00066, </w:t>
      </w:r>
      <w:r w:rsidRPr="00E4462A">
        <w:rPr>
          <w:lang w:val="en-US"/>
        </w:rPr>
        <w:t>2015a.</w:t>
      </w:r>
    </w:p>
    <w:p w14:paraId="670D3550" w14:textId="77777777" w:rsidR="00FC5AF8" w:rsidRPr="00E4462A" w:rsidRDefault="00FC5AF8" w:rsidP="00C22E78">
      <w:pPr>
        <w:contextualSpacing/>
        <w:jc w:val="both"/>
        <w:rPr>
          <w:lang w:val="en-US"/>
        </w:rPr>
      </w:pPr>
    </w:p>
    <w:p w14:paraId="46B546EB" w14:textId="4FC5411E" w:rsidR="00C22E78" w:rsidRPr="00E4462A" w:rsidRDefault="00C22E78" w:rsidP="00C22E78">
      <w:pPr>
        <w:contextualSpacing/>
        <w:jc w:val="both"/>
        <w:rPr>
          <w:lang w:val="en-US"/>
        </w:rPr>
      </w:pPr>
      <w:r w:rsidRPr="00E4462A">
        <w:rPr>
          <w:lang w:val="en-US"/>
        </w:rPr>
        <w:t xml:space="preserve">Wagner, S., Dittmar, T. and Jaffé, R.: Molecular characterization of dissolved black nitrogen by electrospray ionization Fourier transform ion cyclotron resonance mass spectrometry, </w:t>
      </w:r>
      <w:r w:rsidRPr="00E4462A">
        <w:rPr>
          <w:i/>
          <w:lang w:val="en-US"/>
        </w:rPr>
        <w:t>Organic Geochemistry</w:t>
      </w:r>
      <w:r w:rsidRPr="00E4462A">
        <w:rPr>
          <w:lang w:val="en-US"/>
        </w:rPr>
        <w:t xml:space="preserve"> </w:t>
      </w:r>
      <w:r w:rsidRPr="00E4462A">
        <w:rPr>
          <w:b/>
          <w:lang w:val="en-US"/>
        </w:rPr>
        <w:t>79</w:t>
      </w:r>
      <w:r w:rsidRPr="00E4462A">
        <w:rPr>
          <w:lang w:val="en-US"/>
        </w:rPr>
        <w:t>, 21-30, 2015</w:t>
      </w:r>
      <w:r w:rsidR="00FC5AF8" w:rsidRPr="00E4462A">
        <w:rPr>
          <w:lang w:val="en-US"/>
        </w:rPr>
        <w:t>b</w:t>
      </w:r>
      <w:r w:rsidRPr="00E4462A">
        <w:rPr>
          <w:lang w:val="en-US"/>
        </w:rPr>
        <w:t xml:space="preserve">. </w:t>
      </w:r>
    </w:p>
    <w:p w14:paraId="1720FE44" w14:textId="77777777" w:rsidR="00C22E78" w:rsidRPr="00E4462A" w:rsidRDefault="00C22E78" w:rsidP="00C22E78">
      <w:pPr>
        <w:autoSpaceDE w:val="0"/>
        <w:autoSpaceDN w:val="0"/>
        <w:adjustRightInd w:val="0"/>
        <w:jc w:val="both"/>
        <w:rPr>
          <w:lang w:val="en-US"/>
        </w:rPr>
      </w:pPr>
    </w:p>
    <w:p w14:paraId="67C73CC2" w14:textId="77777777" w:rsidR="00C22E78" w:rsidRPr="00E4462A" w:rsidRDefault="00C22E78" w:rsidP="00C22E78">
      <w:pPr>
        <w:autoSpaceDE w:val="0"/>
        <w:autoSpaceDN w:val="0"/>
        <w:adjustRightInd w:val="0"/>
        <w:jc w:val="both"/>
        <w:rPr>
          <w:lang w:val="en-US"/>
        </w:rPr>
      </w:pPr>
      <w:r w:rsidRPr="00E4462A">
        <w:rPr>
          <w:lang w:val="en-US"/>
        </w:rPr>
        <w:t xml:space="preserve">Weishaar, J. L, Aiken, G. R, Bergamaschi, B. A., Fram, M. S, Fujii, R. and Mopper, K.: Evaluation of specific ultraviolet absorbance as an indicator of the chemical composition and reactivity of dissolved organic carbon, </w:t>
      </w:r>
      <w:r w:rsidRPr="00E4462A">
        <w:rPr>
          <w:i/>
          <w:lang w:val="en-US"/>
        </w:rPr>
        <w:t>Environmental Science &amp; Technology</w:t>
      </w:r>
      <w:r w:rsidRPr="00E4462A">
        <w:rPr>
          <w:lang w:val="en-US"/>
        </w:rPr>
        <w:t xml:space="preserve"> </w:t>
      </w:r>
      <w:r w:rsidRPr="00E4462A">
        <w:rPr>
          <w:b/>
          <w:lang w:val="en-US"/>
        </w:rPr>
        <w:t>37</w:t>
      </w:r>
      <w:r w:rsidRPr="00E4462A">
        <w:rPr>
          <w:lang w:val="en-US"/>
        </w:rPr>
        <w:t>, 4702–4708, 2003.</w:t>
      </w:r>
    </w:p>
    <w:p w14:paraId="6172D84F" w14:textId="77777777" w:rsidR="00C22E78" w:rsidRPr="00E4462A" w:rsidRDefault="00C22E78" w:rsidP="00C22E78">
      <w:pPr>
        <w:jc w:val="both"/>
        <w:rPr>
          <w:lang w:val="en-GB"/>
        </w:rPr>
      </w:pPr>
    </w:p>
    <w:p w14:paraId="0DE135E1" w14:textId="77777777" w:rsidR="00C22E78" w:rsidRPr="00E4462A" w:rsidRDefault="00C22E78" w:rsidP="00C22E78">
      <w:pPr>
        <w:jc w:val="both"/>
        <w:rPr>
          <w:lang w:val="en-GB"/>
        </w:rPr>
      </w:pPr>
      <w:r w:rsidRPr="00E4462A">
        <w:rPr>
          <w:lang w:val="en-GB"/>
        </w:rPr>
        <w:t xml:space="preserve">Wen, J.-L., Sun, S.-L., Xue, B.-L., Sun, R.-C.: Recent Advances in Characterization of Lignin Polymer by Solution-State Nuclear Magnetic Resonance (NMR) Methodology, </w:t>
      </w:r>
      <w:r w:rsidRPr="00E4462A">
        <w:rPr>
          <w:i/>
          <w:lang w:val="en-GB"/>
        </w:rPr>
        <w:t>Materials</w:t>
      </w:r>
      <w:r w:rsidRPr="00E4462A">
        <w:rPr>
          <w:lang w:val="en-GB"/>
        </w:rPr>
        <w:t xml:space="preserve"> </w:t>
      </w:r>
      <w:r w:rsidRPr="00E4462A">
        <w:rPr>
          <w:b/>
          <w:lang w:val="en-GB"/>
        </w:rPr>
        <w:t>6</w:t>
      </w:r>
      <w:r w:rsidRPr="00E4462A">
        <w:rPr>
          <w:lang w:val="en-GB"/>
        </w:rPr>
        <w:t xml:space="preserve">, 359-391, 2013. </w:t>
      </w:r>
    </w:p>
    <w:p w14:paraId="13DCB0CA" w14:textId="77777777" w:rsidR="00C22E78" w:rsidRPr="00E4462A" w:rsidRDefault="00C22E78" w:rsidP="00C22E78">
      <w:pPr>
        <w:jc w:val="both"/>
        <w:rPr>
          <w:lang w:val="en-GB"/>
        </w:rPr>
      </w:pPr>
    </w:p>
    <w:p w14:paraId="1476E3C4" w14:textId="77777777" w:rsidR="00C22E78" w:rsidRPr="00E4462A" w:rsidRDefault="00C22E78" w:rsidP="00C22E78">
      <w:pPr>
        <w:autoSpaceDE w:val="0"/>
        <w:autoSpaceDN w:val="0"/>
        <w:adjustRightInd w:val="0"/>
        <w:jc w:val="both"/>
        <w:rPr>
          <w:lang w:val="en-US"/>
        </w:rPr>
      </w:pPr>
      <w:r w:rsidRPr="00E4462A">
        <w:rPr>
          <w:lang w:val="en-US"/>
        </w:rPr>
        <w:t xml:space="preserve">Wolski, P., Savenije, H. H. G., Murray-Hudson, M. and Gumbricht, T.: Modelling of the flooding in the Okavango Delta, Botswana, using a hybrid reservoir-GIS model, </w:t>
      </w:r>
      <w:r w:rsidRPr="00E4462A">
        <w:rPr>
          <w:i/>
          <w:lang w:val="en-US"/>
        </w:rPr>
        <w:t>Journal of Hydrology</w:t>
      </w:r>
      <w:r w:rsidRPr="00E4462A">
        <w:rPr>
          <w:lang w:val="en-US"/>
        </w:rPr>
        <w:t xml:space="preserve"> </w:t>
      </w:r>
      <w:r w:rsidRPr="00E4462A">
        <w:rPr>
          <w:b/>
          <w:lang w:val="en-US"/>
        </w:rPr>
        <w:t>331</w:t>
      </w:r>
      <w:r w:rsidRPr="00E4462A">
        <w:rPr>
          <w:lang w:val="en-US"/>
        </w:rPr>
        <w:t>, 58–72, 2006.</w:t>
      </w:r>
    </w:p>
    <w:p w14:paraId="300C9A64" w14:textId="77777777" w:rsidR="00C22E78" w:rsidRPr="00E4462A" w:rsidRDefault="00C22E78" w:rsidP="00C22E78">
      <w:pPr>
        <w:autoSpaceDE w:val="0"/>
        <w:autoSpaceDN w:val="0"/>
        <w:adjustRightInd w:val="0"/>
        <w:jc w:val="both"/>
        <w:rPr>
          <w:lang w:val="en-US"/>
        </w:rPr>
      </w:pPr>
    </w:p>
    <w:p w14:paraId="6E8BAD0A" w14:textId="77777777" w:rsidR="00C22E78" w:rsidRPr="00E4462A" w:rsidRDefault="00C22E78" w:rsidP="00C22E78">
      <w:pPr>
        <w:autoSpaceDE w:val="0"/>
        <w:autoSpaceDN w:val="0"/>
        <w:adjustRightInd w:val="0"/>
        <w:jc w:val="both"/>
        <w:rPr>
          <w:lang w:val="en-US"/>
        </w:rPr>
      </w:pPr>
      <w:r w:rsidRPr="00E4462A">
        <w:rPr>
          <w:rFonts w:ascii="Times" w:hAnsi="Times" w:cs="Times"/>
          <w:color w:val="000000"/>
          <w:lang w:val="en-US"/>
        </w:rPr>
        <w:t xml:space="preserve">Woods, G. C., Simpson, M. J., Koerner, P. J., Napoli, A., and Simpson, A. J.: HILIC-NMR: towards the identification of individual molecular components in dissolved organic matter. </w:t>
      </w:r>
      <w:r w:rsidRPr="00E4462A">
        <w:rPr>
          <w:rFonts w:ascii="Times" w:hAnsi="Times" w:cs="Times"/>
          <w:i/>
          <w:iCs/>
          <w:color w:val="000000"/>
          <w:lang w:val="en-US"/>
        </w:rPr>
        <w:t>Environmental Science &amp; Technology</w:t>
      </w:r>
      <w:r w:rsidRPr="00E4462A">
        <w:rPr>
          <w:rFonts w:ascii="Times" w:hAnsi="Times" w:cs="Times"/>
          <w:color w:val="000000"/>
          <w:lang w:val="en-US"/>
        </w:rPr>
        <w:t xml:space="preserve">, </w:t>
      </w:r>
      <w:r w:rsidRPr="00E4462A">
        <w:rPr>
          <w:rFonts w:ascii="Times" w:hAnsi="Times" w:cs="Times"/>
          <w:b/>
          <w:color w:val="000000"/>
          <w:lang w:val="en-US"/>
        </w:rPr>
        <w:t>45</w:t>
      </w:r>
      <w:r w:rsidRPr="00E4462A">
        <w:rPr>
          <w:rFonts w:ascii="Times" w:hAnsi="Times" w:cs="Times"/>
          <w:color w:val="000000"/>
          <w:lang w:val="en-US"/>
        </w:rPr>
        <w:t>, 3880-3886. 2011.</w:t>
      </w:r>
    </w:p>
    <w:p w14:paraId="7F7A5A1B" w14:textId="77777777" w:rsidR="00C22E78" w:rsidRPr="00E4462A" w:rsidRDefault="00C22E78" w:rsidP="00C22E78">
      <w:pPr>
        <w:autoSpaceDE w:val="0"/>
        <w:autoSpaceDN w:val="0"/>
        <w:adjustRightInd w:val="0"/>
        <w:jc w:val="both"/>
        <w:rPr>
          <w:lang w:val="en-US"/>
        </w:rPr>
      </w:pPr>
    </w:p>
    <w:p w14:paraId="13DFB938" w14:textId="77777777" w:rsidR="00C22E78" w:rsidRPr="00E4462A" w:rsidRDefault="00C22E78" w:rsidP="00C22E78">
      <w:pPr>
        <w:autoSpaceDE w:val="0"/>
        <w:autoSpaceDN w:val="0"/>
        <w:adjustRightInd w:val="0"/>
        <w:jc w:val="both"/>
        <w:rPr>
          <w:lang w:val="en-US"/>
        </w:rPr>
      </w:pPr>
      <w:r w:rsidRPr="00E4462A">
        <w:rPr>
          <w:rFonts w:ascii="Times" w:hAnsi="Times" w:cs="Times"/>
          <w:color w:val="000000"/>
          <w:lang w:val="en-US"/>
        </w:rPr>
        <w:t xml:space="preserve">Woods, G. C., Simpson, M. J., Simpson, A. J.: Oxidized sterols as a significant component of dissolved organic matter: Evidence from 2D HPLC in combination with 2D and 3D NMR spectroscopy </w:t>
      </w:r>
      <w:r w:rsidRPr="00E4462A">
        <w:rPr>
          <w:rFonts w:ascii="Times" w:hAnsi="Times" w:cs="Times"/>
          <w:i/>
          <w:iCs/>
          <w:color w:val="000000"/>
          <w:lang w:val="en-US"/>
        </w:rPr>
        <w:t>Water Research</w:t>
      </w:r>
      <w:r w:rsidRPr="00E4462A">
        <w:rPr>
          <w:rFonts w:ascii="Times" w:hAnsi="Times" w:cs="Times"/>
          <w:color w:val="000000"/>
          <w:lang w:val="en-US"/>
        </w:rPr>
        <w:t xml:space="preserve"> </w:t>
      </w:r>
      <w:r w:rsidRPr="00E4462A">
        <w:rPr>
          <w:rFonts w:ascii="Times" w:hAnsi="Times" w:cs="Times"/>
          <w:b/>
          <w:color w:val="000000"/>
          <w:lang w:val="en-US"/>
        </w:rPr>
        <w:t>46</w:t>
      </w:r>
      <w:r w:rsidRPr="00E4462A">
        <w:rPr>
          <w:rFonts w:ascii="Times" w:hAnsi="Times" w:cs="Times"/>
          <w:color w:val="000000"/>
          <w:lang w:val="en-US"/>
        </w:rPr>
        <w:t>, 3398-3408, 2012.</w:t>
      </w:r>
    </w:p>
    <w:p w14:paraId="08D1531E" w14:textId="77777777" w:rsidR="00C22E78" w:rsidRPr="00E4462A" w:rsidRDefault="00C22E78" w:rsidP="00C22E78">
      <w:pPr>
        <w:jc w:val="both"/>
        <w:rPr>
          <w:lang w:val="en-GB"/>
        </w:rPr>
      </w:pPr>
    </w:p>
    <w:p w14:paraId="616E5B19" w14:textId="77777777" w:rsidR="00C22E78" w:rsidRPr="00E4462A" w:rsidRDefault="00C22E78" w:rsidP="00C22E78">
      <w:pPr>
        <w:jc w:val="both"/>
        <w:rPr>
          <w:u w:val="single"/>
          <w:lang w:val="en-US"/>
        </w:rPr>
      </w:pPr>
      <w:r w:rsidRPr="00E4462A">
        <w:rPr>
          <w:lang w:val="en-US"/>
        </w:rPr>
        <w:t>Yamashita, Y. and Jaffé, R.: Ch</w:t>
      </w:r>
      <w:r w:rsidRPr="00E4462A">
        <w:rPr>
          <w:bCs/>
          <w:lang w:val="en-US"/>
        </w:rPr>
        <w:t xml:space="preserve">aracterizing the Interactions between Trace Metals and Dissolved Organic Matter Using Excitation-Emission Matrix and Parallel Factor Analysis. </w:t>
      </w:r>
      <w:r w:rsidRPr="00E4462A">
        <w:rPr>
          <w:i/>
          <w:lang w:val="en-US"/>
        </w:rPr>
        <w:t>Environmental Science &amp; Technology</w:t>
      </w:r>
      <w:r w:rsidRPr="00E4462A">
        <w:rPr>
          <w:lang w:val="en-US"/>
        </w:rPr>
        <w:t xml:space="preserve"> </w:t>
      </w:r>
      <w:r w:rsidRPr="00E4462A">
        <w:rPr>
          <w:b/>
          <w:bCs/>
          <w:lang w:val="en-US"/>
        </w:rPr>
        <w:t>42</w:t>
      </w:r>
      <w:r w:rsidRPr="00E4462A">
        <w:rPr>
          <w:bCs/>
          <w:lang w:val="en-US"/>
        </w:rPr>
        <w:t>, 7374-7379.</w:t>
      </w:r>
      <w:r w:rsidRPr="00E4462A">
        <w:rPr>
          <w:lang w:val="en-US"/>
        </w:rPr>
        <w:t xml:space="preserve"> 2008.</w:t>
      </w:r>
    </w:p>
    <w:p w14:paraId="61A9A692" w14:textId="77777777" w:rsidR="00C22E78" w:rsidRPr="00E4462A" w:rsidRDefault="00C22E78" w:rsidP="00C22E78">
      <w:pPr>
        <w:jc w:val="both"/>
        <w:rPr>
          <w:lang w:val="en-GB"/>
        </w:rPr>
      </w:pPr>
    </w:p>
    <w:p w14:paraId="44681CBC" w14:textId="77777777" w:rsidR="00C22E78" w:rsidRPr="00E4462A" w:rsidRDefault="00C22E78" w:rsidP="00C22E78">
      <w:pPr>
        <w:autoSpaceDE w:val="0"/>
        <w:autoSpaceDN w:val="0"/>
        <w:adjustRightInd w:val="0"/>
        <w:jc w:val="both"/>
        <w:rPr>
          <w:lang w:val="en-US"/>
        </w:rPr>
      </w:pPr>
      <w:r w:rsidRPr="00E4462A">
        <w:rPr>
          <w:lang w:val="en-US"/>
        </w:rPr>
        <w:t xml:space="preserve">Yamashita, Y. and Tanoue, E.: Chemical characterization of protein-like fluorophores in DOM in relation to aromatic amino acids, </w:t>
      </w:r>
      <w:r w:rsidRPr="00E4462A">
        <w:rPr>
          <w:rFonts w:eastAsia="AdvEPSTIM-I"/>
          <w:i/>
          <w:lang w:val="en-US"/>
        </w:rPr>
        <w:t>Marine Chemistry</w:t>
      </w:r>
      <w:r w:rsidRPr="00E4462A">
        <w:rPr>
          <w:rFonts w:eastAsia="AdvEPSTIM-I"/>
          <w:lang w:val="en-US"/>
        </w:rPr>
        <w:t xml:space="preserve"> </w:t>
      </w:r>
      <w:r w:rsidRPr="00E4462A">
        <w:rPr>
          <w:b/>
          <w:lang w:val="en-US"/>
        </w:rPr>
        <w:t>82</w:t>
      </w:r>
      <w:r w:rsidRPr="00E4462A">
        <w:rPr>
          <w:lang w:val="en-US"/>
        </w:rPr>
        <w:t>, 255–271, 2003.</w:t>
      </w:r>
    </w:p>
    <w:p w14:paraId="69232F23" w14:textId="77777777" w:rsidR="00C22E78" w:rsidRPr="00E4462A" w:rsidRDefault="00C22E78" w:rsidP="00C22E78">
      <w:pPr>
        <w:jc w:val="both"/>
        <w:rPr>
          <w:lang w:val="en-GB"/>
        </w:rPr>
      </w:pPr>
    </w:p>
    <w:p w14:paraId="05D43F90" w14:textId="77777777" w:rsidR="00C22E78" w:rsidRPr="00E4462A" w:rsidRDefault="00C22E78" w:rsidP="00C22E78">
      <w:pPr>
        <w:jc w:val="both"/>
        <w:rPr>
          <w:lang w:val="en-US"/>
        </w:rPr>
      </w:pPr>
      <w:r w:rsidRPr="00E4462A">
        <w:rPr>
          <w:lang w:val="en-US"/>
        </w:rPr>
        <w:t xml:space="preserve">Yamashita, Y., Scinto, L., Maie, N. and Jaffé, R.: Assessing the environmental dynamics of dissolved organic matter in an oligotrophic subtropical wetland by optical means, </w:t>
      </w:r>
      <w:r w:rsidRPr="00E4462A">
        <w:rPr>
          <w:i/>
          <w:lang w:val="en-US"/>
        </w:rPr>
        <w:t>Ecosystems</w:t>
      </w:r>
      <w:r w:rsidRPr="00E4462A">
        <w:rPr>
          <w:lang w:val="en-US"/>
        </w:rPr>
        <w:t xml:space="preserve"> </w:t>
      </w:r>
      <w:r w:rsidRPr="00E4462A">
        <w:rPr>
          <w:b/>
          <w:lang w:val="en-US"/>
        </w:rPr>
        <w:t>13</w:t>
      </w:r>
      <w:r w:rsidRPr="00E4462A">
        <w:rPr>
          <w:lang w:val="en-US"/>
        </w:rPr>
        <w:t>, 1006-1019, 2010.</w:t>
      </w:r>
    </w:p>
    <w:p w14:paraId="3A9735BA" w14:textId="77777777" w:rsidR="00C22E78" w:rsidRPr="00E4462A" w:rsidRDefault="00C22E78" w:rsidP="00C22E78">
      <w:pPr>
        <w:jc w:val="both"/>
        <w:rPr>
          <w:lang w:val="en-US"/>
        </w:rPr>
      </w:pPr>
    </w:p>
    <w:p w14:paraId="55F5062C" w14:textId="77777777" w:rsidR="00C22E78" w:rsidRPr="00E4462A" w:rsidRDefault="00C22E78" w:rsidP="00C22E78">
      <w:pPr>
        <w:jc w:val="both"/>
        <w:rPr>
          <w:lang w:val="en-US"/>
        </w:rPr>
      </w:pPr>
      <w:r w:rsidRPr="00E4462A">
        <w:rPr>
          <w:lang w:val="en-US"/>
        </w:rPr>
        <w:t xml:space="preserve">Yuan, T.-Q., Sun, S.-N., Xu, F., Sun, R.-C.: Characterization of Lignin Structures and Lignin-Carbohydrate Complex (LCC) Linkages by Quantitative </w:t>
      </w:r>
      <w:r w:rsidRPr="00E4462A">
        <w:rPr>
          <w:vertAlign w:val="superscript"/>
          <w:lang w:val="en-US"/>
        </w:rPr>
        <w:t>13</w:t>
      </w:r>
      <w:r w:rsidRPr="00E4462A">
        <w:rPr>
          <w:lang w:val="en-US"/>
        </w:rPr>
        <w:t xml:space="preserve">C and 2D HSQC NMR Spectroscopy, </w:t>
      </w:r>
      <w:r w:rsidRPr="00E4462A">
        <w:rPr>
          <w:i/>
          <w:lang w:val="en-US"/>
        </w:rPr>
        <w:t>Journal of Agricultural and Food Chemistry</w:t>
      </w:r>
      <w:r w:rsidRPr="00E4462A">
        <w:rPr>
          <w:lang w:val="en-US"/>
        </w:rPr>
        <w:t xml:space="preserve">, </w:t>
      </w:r>
      <w:r w:rsidRPr="00E4462A">
        <w:rPr>
          <w:b/>
          <w:lang w:val="en-US"/>
        </w:rPr>
        <w:t>59</w:t>
      </w:r>
      <w:r w:rsidRPr="00E4462A">
        <w:rPr>
          <w:lang w:val="en-US"/>
        </w:rPr>
        <w:t>, 10604-10614. 2011.</w:t>
      </w:r>
    </w:p>
    <w:p w14:paraId="33FAAB83" w14:textId="77777777" w:rsidR="00C22E78" w:rsidRPr="00E4462A" w:rsidRDefault="00C22E78" w:rsidP="00C22E78">
      <w:pPr>
        <w:jc w:val="both"/>
        <w:rPr>
          <w:lang w:val="en-US"/>
        </w:rPr>
      </w:pPr>
    </w:p>
    <w:p w14:paraId="32929F27" w14:textId="77777777" w:rsidR="00C22E78" w:rsidRPr="00E4462A" w:rsidRDefault="00C22E78" w:rsidP="00C22E78">
      <w:pPr>
        <w:jc w:val="both"/>
        <w:rPr>
          <w:noProof/>
          <w:lang w:val="en-US"/>
        </w:rPr>
      </w:pPr>
      <w:r w:rsidRPr="00E4462A">
        <w:rPr>
          <w:noProof/>
          <w:lang w:val="en-US"/>
        </w:rPr>
        <w:t xml:space="preserve">Yelle, D. J., Ralph, J. and Frihart, C. R.: Characterization of nonderivatized plant cell walls using high-resolution solution-state NMR spectroscopy, </w:t>
      </w:r>
      <w:r w:rsidRPr="00E4462A">
        <w:rPr>
          <w:i/>
          <w:noProof/>
          <w:lang w:val="en-US"/>
        </w:rPr>
        <w:t>Magnetic Resonance in Chemistry</w:t>
      </w:r>
      <w:r w:rsidRPr="00E4462A">
        <w:rPr>
          <w:noProof/>
          <w:lang w:val="en-US"/>
        </w:rPr>
        <w:t xml:space="preserve"> </w:t>
      </w:r>
      <w:r w:rsidRPr="00E4462A">
        <w:rPr>
          <w:b/>
          <w:noProof/>
          <w:lang w:val="en-US"/>
        </w:rPr>
        <w:t>46</w:t>
      </w:r>
      <w:r w:rsidRPr="00E4462A">
        <w:rPr>
          <w:noProof/>
          <w:lang w:val="en-US"/>
        </w:rPr>
        <w:t>, 508-517, 2008.</w:t>
      </w:r>
    </w:p>
    <w:p w14:paraId="3DF0577C" w14:textId="77777777" w:rsidR="00C22E78" w:rsidRPr="00E4462A" w:rsidRDefault="00C22E78" w:rsidP="00C22E78">
      <w:pPr>
        <w:jc w:val="both"/>
        <w:rPr>
          <w:lang w:val="en-US"/>
        </w:rPr>
      </w:pPr>
    </w:p>
    <w:p w14:paraId="4859125A" w14:textId="77777777" w:rsidR="00C22E78" w:rsidRPr="00E4462A" w:rsidRDefault="00C22E78" w:rsidP="00C22E78">
      <w:pPr>
        <w:jc w:val="both"/>
        <w:rPr>
          <w:lang w:val="en-GB"/>
        </w:rPr>
      </w:pPr>
      <w:r w:rsidRPr="00E4462A">
        <w:rPr>
          <w:lang w:val="en-US"/>
        </w:rPr>
        <w:t xml:space="preserve">Zhang, F., Harir, M., Moritz, F., Zhang, J., Witting, M., Wu, Y., Schmitt-Kopplin, P., Fekete, A., Gaspar, A. and Hertkorn, N.: </w:t>
      </w:r>
      <w:r w:rsidRPr="00E4462A">
        <w:rPr>
          <w:lang w:val="en-GB"/>
        </w:rPr>
        <w:t xml:space="preserve">Molecular and structural characterization of dissolved organic matter during and post cyanobacterial bloom in Taihu by combination of NMR spectroscopy and FTICR mass spectrometry, </w:t>
      </w:r>
      <w:r w:rsidRPr="00E4462A">
        <w:rPr>
          <w:i/>
          <w:lang w:val="en-GB"/>
        </w:rPr>
        <w:t>Water Research</w:t>
      </w:r>
      <w:r w:rsidRPr="00E4462A">
        <w:rPr>
          <w:lang w:val="en-GB"/>
        </w:rPr>
        <w:t xml:space="preserve"> </w:t>
      </w:r>
      <w:r w:rsidRPr="00E4462A">
        <w:rPr>
          <w:b/>
          <w:lang w:val="en-GB"/>
        </w:rPr>
        <w:t>57</w:t>
      </w:r>
      <w:r w:rsidRPr="00E4462A">
        <w:rPr>
          <w:lang w:val="en-GB"/>
        </w:rPr>
        <w:t>, 280-294,</w:t>
      </w:r>
      <w:r w:rsidRPr="00E4462A">
        <w:rPr>
          <w:lang w:val="en-US"/>
        </w:rPr>
        <w:t xml:space="preserve"> 2014.</w:t>
      </w:r>
    </w:p>
    <w:p w14:paraId="1C21EC86" w14:textId="77777777" w:rsidR="00C22E78" w:rsidRPr="00E4462A" w:rsidRDefault="00C22E78" w:rsidP="00C22E78">
      <w:pPr>
        <w:rPr>
          <w:lang w:val="en-US"/>
        </w:rPr>
      </w:pPr>
    </w:p>
    <w:p w14:paraId="25CD70C6" w14:textId="77777777" w:rsidR="00043193" w:rsidRPr="00E4462A" w:rsidRDefault="00043193" w:rsidP="008B22B1">
      <w:pPr>
        <w:spacing w:line="360" w:lineRule="auto"/>
        <w:jc w:val="both"/>
        <w:rPr>
          <w:b/>
          <w:lang w:val="en-US"/>
        </w:rPr>
      </w:pPr>
    </w:p>
    <w:p w14:paraId="4540B4B9" w14:textId="77777777" w:rsidR="00A83098" w:rsidRPr="00E4462A" w:rsidRDefault="00A83098" w:rsidP="008B22B1">
      <w:pPr>
        <w:spacing w:after="200" w:line="276" w:lineRule="auto"/>
        <w:jc w:val="both"/>
        <w:rPr>
          <w:b/>
          <w:lang w:val="en-GB" w:eastAsia="zh-CN"/>
        </w:rPr>
      </w:pPr>
      <w:r w:rsidRPr="00E4462A">
        <w:rPr>
          <w:b/>
          <w:lang w:val="en-GB" w:eastAsia="zh-CN"/>
        </w:rPr>
        <w:br w:type="page"/>
      </w:r>
    </w:p>
    <w:p w14:paraId="5E61F6D2" w14:textId="77777777" w:rsidR="00B95D49" w:rsidRPr="00E4462A" w:rsidRDefault="00B95D49" w:rsidP="008B22B1">
      <w:pPr>
        <w:spacing w:line="360" w:lineRule="auto"/>
        <w:jc w:val="both"/>
        <w:rPr>
          <w:b/>
          <w:lang w:val="en-GB" w:eastAsia="zh-CN"/>
        </w:rPr>
      </w:pPr>
      <w:r w:rsidRPr="00E4462A">
        <w:rPr>
          <w:b/>
          <w:lang w:val="en-GB" w:eastAsia="zh-CN"/>
        </w:rPr>
        <w:lastRenderedPageBreak/>
        <w:t>Figure Captions:</w:t>
      </w:r>
    </w:p>
    <w:p w14:paraId="6F46B96B" w14:textId="77777777" w:rsidR="00B95D49" w:rsidRPr="00E4462A" w:rsidRDefault="007A6FE3" w:rsidP="008B22B1">
      <w:pPr>
        <w:spacing w:line="360" w:lineRule="auto"/>
        <w:jc w:val="both"/>
        <w:rPr>
          <w:b/>
          <w:lang w:val="en-GB" w:eastAsia="zh-CN"/>
        </w:rPr>
      </w:pPr>
      <w:r w:rsidRPr="00E4462A">
        <w:rPr>
          <w:b/>
          <w:lang w:val="en-GB" w:eastAsia="zh-CN"/>
        </w:rPr>
        <w:t xml:space="preserve">  </w:t>
      </w:r>
    </w:p>
    <w:p w14:paraId="074423A1" w14:textId="4418FD25" w:rsidR="00043193" w:rsidRPr="00E4462A" w:rsidRDefault="00043193" w:rsidP="008B22B1">
      <w:pPr>
        <w:spacing w:line="360" w:lineRule="auto"/>
        <w:jc w:val="both"/>
        <w:rPr>
          <w:b/>
          <w:lang w:val="en-US" w:eastAsia="zh-CN"/>
        </w:rPr>
      </w:pPr>
      <w:r w:rsidRPr="00E4462A">
        <w:rPr>
          <w:b/>
          <w:lang w:val="en-GB" w:eastAsia="zh-CN"/>
        </w:rPr>
        <w:t xml:space="preserve">Fig. 1. </w:t>
      </w:r>
      <w:r w:rsidRPr="00E4462A">
        <w:rPr>
          <w:lang w:val="en-US" w:eastAsia="zh-CN"/>
        </w:rPr>
        <w:t xml:space="preserve">Box plots of the </w:t>
      </w:r>
      <w:r w:rsidR="003241A4" w:rsidRPr="00E4462A">
        <w:rPr>
          <w:lang w:val="en-US" w:eastAsia="zh-CN"/>
        </w:rPr>
        <w:t>relative abundance (%) of</w:t>
      </w:r>
      <w:r w:rsidRPr="00E4462A">
        <w:rPr>
          <w:lang w:val="en-US" w:eastAsia="zh-CN"/>
        </w:rPr>
        <w:t xml:space="preserve"> PARAFAC components for the FCE, OKA, and PAN regions. Top of the blue box represents the 75</w:t>
      </w:r>
      <w:r w:rsidRPr="00E4462A">
        <w:rPr>
          <w:vertAlign w:val="superscript"/>
          <w:lang w:val="en-US" w:eastAsia="zh-CN"/>
        </w:rPr>
        <w:t>th</w:t>
      </w:r>
      <w:r w:rsidRPr="00E4462A">
        <w:rPr>
          <w:lang w:val="en-US" w:eastAsia="zh-CN"/>
        </w:rPr>
        <w:t xml:space="preserve"> percentile, middle of the blue box is the median, lower edge of blue box is the 25th percentile, top of the black bar is the maximum value and bottom of the black bar is the minimum value. ENP = Everglades National Park; WCA2 = Water Conservation Area 2.</w:t>
      </w:r>
    </w:p>
    <w:p w14:paraId="5C177E60" w14:textId="77777777" w:rsidR="00043193" w:rsidRPr="00E4462A" w:rsidRDefault="00043193" w:rsidP="008B22B1">
      <w:pPr>
        <w:spacing w:line="360" w:lineRule="auto"/>
        <w:jc w:val="both"/>
        <w:rPr>
          <w:b/>
          <w:lang w:val="en-GB" w:eastAsia="zh-CN"/>
        </w:rPr>
      </w:pPr>
    </w:p>
    <w:p w14:paraId="0C580D22" w14:textId="77777777" w:rsidR="00043193" w:rsidRPr="00E4462A" w:rsidRDefault="00043193" w:rsidP="008B22B1">
      <w:pPr>
        <w:spacing w:line="360" w:lineRule="auto"/>
        <w:jc w:val="both"/>
        <w:rPr>
          <w:b/>
          <w:lang w:val="en-GB" w:eastAsia="zh-CN"/>
        </w:rPr>
      </w:pPr>
      <w:r w:rsidRPr="00E4462A">
        <w:rPr>
          <w:b/>
          <w:lang w:val="en-GB"/>
        </w:rPr>
        <w:t>Fig. 2.</w:t>
      </w:r>
      <w:r w:rsidRPr="00E4462A">
        <w:rPr>
          <w:lang w:val="en-GB"/>
        </w:rPr>
        <w:t xml:space="preserve"> </w:t>
      </w:r>
      <w:r w:rsidRPr="00E4462A">
        <w:rPr>
          <w:vertAlign w:val="superscript"/>
          <w:lang w:val="en-GB"/>
        </w:rPr>
        <w:t>1</w:t>
      </w:r>
      <w:r w:rsidRPr="00E4462A">
        <w:rPr>
          <w:lang w:val="en-GB"/>
        </w:rPr>
        <w:t>H NMR spectra of six wetland SPE-DOM (</w:t>
      </w:r>
      <w:r w:rsidR="00C06EB5" w:rsidRPr="00E4462A">
        <w:rPr>
          <w:lang w:val="en-GB"/>
        </w:rPr>
        <w:t>5</w:t>
      </w:r>
      <w:r w:rsidRPr="00E4462A">
        <w:rPr>
          <w:lang w:val="en-GB"/>
        </w:rPr>
        <w:t>00 MHz; CD</w:t>
      </w:r>
      <w:r w:rsidRPr="00E4462A">
        <w:rPr>
          <w:vertAlign w:val="subscript"/>
          <w:lang w:val="en-GB"/>
        </w:rPr>
        <w:t>3</w:t>
      </w:r>
      <w:r w:rsidRPr="00E4462A">
        <w:rPr>
          <w:lang w:val="en-GB"/>
        </w:rPr>
        <w:t xml:space="preserve">OD); overlay: intensities are normalized to total </w:t>
      </w:r>
      <w:r w:rsidR="00A23144" w:rsidRPr="00E4462A">
        <w:rPr>
          <w:lang w:val="en-GB"/>
        </w:rPr>
        <w:t xml:space="preserve">NMR resonance </w:t>
      </w:r>
      <w:r w:rsidRPr="00E4462A">
        <w:rPr>
          <w:lang w:val="en-GB"/>
        </w:rPr>
        <w:t>area in the entire chemical shift range shown (</w:t>
      </w:r>
      <w:r w:rsidRPr="00E4462A">
        <w:rPr>
          <w:rFonts w:ascii="Symbol" w:hAnsi="Symbol"/>
          <w:lang w:val="en-GB"/>
        </w:rPr>
        <w:t></w:t>
      </w:r>
      <w:r w:rsidRPr="00E4462A">
        <w:rPr>
          <w:vertAlign w:val="subscript"/>
          <w:lang w:val="en-GB"/>
        </w:rPr>
        <w:t>H</w:t>
      </w:r>
      <w:r w:rsidRPr="00E4462A">
        <w:rPr>
          <w:lang w:val="en-GB"/>
        </w:rPr>
        <w:t xml:space="preserve"> = 0-10 ppm), with exclusion of residual water and methanol NMR resonances</w:t>
      </w:r>
      <w:r w:rsidR="004A521C" w:rsidRPr="00E4462A">
        <w:rPr>
          <w:lang w:val="en-GB"/>
        </w:rPr>
        <w:t xml:space="preserve"> (Fig. S1)</w:t>
      </w:r>
      <w:r w:rsidRPr="00E4462A">
        <w:rPr>
          <w:lang w:val="en-GB"/>
        </w:rPr>
        <w:t>. (A) entire NMR spectrum (</w:t>
      </w:r>
      <w:r w:rsidRPr="00E4462A">
        <w:rPr>
          <w:rFonts w:ascii="Symbol" w:hAnsi="Symbol"/>
          <w:lang w:val="en-GB"/>
        </w:rPr>
        <w:t></w:t>
      </w:r>
      <w:r w:rsidRPr="00E4462A">
        <w:rPr>
          <w:vertAlign w:val="subscript"/>
          <w:lang w:val="en-GB"/>
        </w:rPr>
        <w:t>H</w:t>
      </w:r>
      <w:r w:rsidRPr="00E4462A">
        <w:rPr>
          <w:lang w:val="en-GB"/>
        </w:rPr>
        <w:t xml:space="preserve"> = 0-10 ppm), with section of unsaturated protons (</w:t>
      </w:r>
      <w:r w:rsidRPr="00E4462A">
        <w:rPr>
          <w:rFonts w:ascii="Symbol" w:hAnsi="Symbol"/>
          <w:lang w:val="en-GB"/>
        </w:rPr>
        <w:t></w:t>
      </w:r>
      <w:r w:rsidRPr="00E4462A">
        <w:rPr>
          <w:vertAlign w:val="subscript"/>
          <w:lang w:val="en-GB"/>
        </w:rPr>
        <w:t>H</w:t>
      </w:r>
      <w:r w:rsidRPr="00E4462A">
        <w:rPr>
          <w:lang w:val="en-GB"/>
        </w:rPr>
        <w:t xml:space="preserve"> = 5 - 10 ppm), highlighted in orange; (B) section of unsaturated protons (</w:t>
      </w:r>
      <w:r w:rsidRPr="00E4462A">
        <w:rPr>
          <w:rFonts w:ascii="Symbol" w:hAnsi="Symbol"/>
          <w:lang w:val="en-GB"/>
        </w:rPr>
        <w:t></w:t>
      </w:r>
      <w:r w:rsidRPr="00E4462A">
        <w:rPr>
          <w:vertAlign w:val="subscript"/>
          <w:lang w:val="en-GB"/>
        </w:rPr>
        <w:t>H</w:t>
      </w:r>
      <w:r w:rsidRPr="00E4462A">
        <w:rPr>
          <w:lang w:val="en-GB"/>
        </w:rPr>
        <w:t xml:space="preserve"> = 5 - 10 ppm); (C) section of aliphatic protons (</w:t>
      </w:r>
      <w:r w:rsidRPr="00E4462A">
        <w:rPr>
          <w:rFonts w:ascii="Symbol" w:hAnsi="Symbol"/>
          <w:lang w:val="en-GB"/>
        </w:rPr>
        <w:t></w:t>
      </w:r>
      <w:r w:rsidRPr="00E4462A">
        <w:rPr>
          <w:vertAlign w:val="subscript"/>
          <w:lang w:val="en-GB"/>
        </w:rPr>
        <w:t>H</w:t>
      </w:r>
      <w:r w:rsidRPr="00E4462A">
        <w:rPr>
          <w:lang w:val="en-GB"/>
        </w:rPr>
        <w:t xml:space="preserve"> = 0 - 5 ppm); highlighted in purple colour: vertical expansion of functionalized aliphatic compounds, associated also with CRAM (carboxyl-rich alicyclic compounds).</w:t>
      </w:r>
    </w:p>
    <w:p w14:paraId="28FC862E" w14:textId="77777777" w:rsidR="00043193" w:rsidRPr="00E4462A" w:rsidRDefault="00043193" w:rsidP="008B22B1">
      <w:pPr>
        <w:spacing w:line="360" w:lineRule="auto"/>
        <w:jc w:val="both"/>
        <w:rPr>
          <w:lang w:val="en-US"/>
        </w:rPr>
      </w:pPr>
    </w:p>
    <w:p w14:paraId="10FB1778" w14:textId="1F6BD7DF" w:rsidR="00043193" w:rsidRPr="00E4462A" w:rsidRDefault="00043193" w:rsidP="008B22B1">
      <w:pPr>
        <w:spacing w:line="360" w:lineRule="auto"/>
        <w:jc w:val="both"/>
        <w:rPr>
          <w:lang w:val="en-GB"/>
        </w:rPr>
      </w:pPr>
      <w:r w:rsidRPr="00E4462A">
        <w:rPr>
          <w:b/>
          <w:lang w:val="en-GB"/>
        </w:rPr>
        <w:t xml:space="preserve">Fig. </w:t>
      </w:r>
      <w:r w:rsidR="00F56627" w:rsidRPr="00E4462A">
        <w:rPr>
          <w:b/>
          <w:lang w:val="en-GB"/>
        </w:rPr>
        <w:t>3</w:t>
      </w:r>
      <w:r w:rsidRPr="00E4462A">
        <w:rPr>
          <w:b/>
          <w:lang w:val="en-GB"/>
        </w:rPr>
        <w:t>.</w:t>
      </w:r>
      <w:r w:rsidRPr="00E4462A">
        <w:rPr>
          <w:lang w:val="en-GB"/>
        </w:rPr>
        <w:t xml:space="preserve"> TOCSY NMR spectra (</w:t>
      </w:r>
      <w:r w:rsidR="004A521C" w:rsidRPr="00E4462A">
        <w:rPr>
          <w:lang w:val="en-GB"/>
        </w:rPr>
        <w:t>8</w:t>
      </w:r>
      <w:r w:rsidRPr="00E4462A">
        <w:rPr>
          <w:lang w:val="en-GB"/>
        </w:rPr>
        <w:t>00 MHz, CD</w:t>
      </w:r>
      <w:r w:rsidRPr="00E4462A">
        <w:rPr>
          <w:vertAlign w:val="subscript"/>
          <w:lang w:val="en-GB"/>
        </w:rPr>
        <w:t>3</w:t>
      </w:r>
      <w:r w:rsidR="00E43B8E" w:rsidRPr="00E4462A">
        <w:rPr>
          <w:lang w:val="en-GB"/>
        </w:rPr>
        <w:t>OD) of wetland SPE-DOM</w:t>
      </w:r>
      <w:r w:rsidRPr="00E4462A">
        <w:rPr>
          <w:lang w:val="en-GB"/>
        </w:rPr>
        <w:t>. Panel (A) depicts TOCSY cross peaks between aliphatic protons (X-C</w:t>
      </w:r>
      <w:r w:rsidRPr="00E4462A">
        <w:rPr>
          <w:vertAlign w:val="subscript"/>
          <w:lang w:val="en-GB"/>
        </w:rPr>
        <w:t>sp3</w:t>
      </w:r>
      <w:r w:rsidRPr="00E4462A">
        <w:rPr>
          <w:b/>
          <w:u w:val="single"/>
          <w:lang w:val="en-GB"/>
        </w:rPr>
        <w:t>H</w:t>
      </w:r>
      <w:r w:rsidRPr="00E4462A">
        <w:rPr>
          <w:lang w:val="en-GB"/>
        </w:rPr>
        <w:t>-C</w:t>
      </w:r>
      <w:r w:rsidRPr="00E4462A">
        <w:rPr>
          <w:vertAlign w:val="subscript"/>
          <w:lang w:val="en-GB"/>
        </w:rPr>
        <w:t>sp3</w:t>
      </w:r>
      <w:r w:rsidRPr="00E4462A">
        <w:rPr>
          <w:b/>
          <w:u w:val="single"/>
          <w:lang w:val="en-GB"/>
        </w:rPr>
        <w:t>H</w:t>
      </w:r>
      <w:r w:rsidRPr="00E4462A">
        <w:rPr>
          <w:lang w:val="en-GB"/>
        </w:rPr>
        <w:t>-X; X: C, O)</w:t>
      </w:r>
      <w:r w:rsidR="00E43B8E" w:rsidRPr="00E4462A">
        <w:rPr>
          <w:lang w:val="en-GB"/>
        </w:rPr>
        <w:t xml:space="preserve"> for samples FCE-S</w:t>
      </w:r>
      <w:r w:rsidRPr="00E4462A">
        <w:rPr>
          <w:lang w:val="en-GB"/>
        </w:rPr>
        <w:t>, whereas panels (B-D) depict TOCSY cross peaks between unsaturated protons (X-C</w:t>
      </w:r>
      <w:r w:rsidRPr="00E4462A">
        <w:rPr>
          <w:vertAlign w:val="subscript"/>
          <w:lang w:val="en-GB"/>
        </w:rPr>
        <w:t>sp2</w:t>
      </w:r>
      <w:r w:rsidRPr="00E4462A">
        <w:rPr>
          <w:b/>
          <w:u w:val="single"/>
          <w:lang w:val="en-GB"/>
        </w:rPr>
        <w:t>H</w:t>
      </w:r>
      <w:r w:rsidRPr="00E4462A">
        <w:rPr>
          <w:lang w:val="en-GB"/>
        </w:rPr>
        <w:t>-C</w:t>
      </w:r>
      <w:r w:rsidRPr="00E4462A">
        <w:rPr>
          <w:vertAlign w:val="subscript"/>
          <w:lang w:val="en-GB"/>
        </w:rPr>
        <w:t>sp2</w:t>
      </w:r>
      <w:r w:rsidRPr="00E4462A">
        <w:rPr>
          <w:b/>
          <w:u w:val="single"/>
          <w:lang w:val="en-GB"/>
        </w:rPr>
        <w:t>H</w:t>
      </w:r>
      <w:r w:rsidRPr="00E4462A">
        <w:rPr>
          <w:lang w:val="en-GB"/>
        </w:rPr>
        <w:t>-X; X: C, O)</w:t>
      </w:r>
      <w:r w:rsidR="00E43B8E" w:rsidRPr="00E4462A">
        <w:rPr>
          <w:lang w:val="en-GB"/>
        </w:rPr>
        <w:t xml:space="preserve"> for samples FCE-S, PAN-L and OKA-S respectively</w:t>
      </w:r>
      <w:r w:rsidRPr="00E4462A">
        <w:rPr>
          <w:lang w:val="en-GB"/>
        </w:rPr>
        <w:t xml:space="preserve">. Section a: </w:t>
      </w:r>
      <w:r w:rsidRPr="00E4462A">
        <w:rPr>
          <w:b/>
          <w:u w:val="single"/>
          <w:lang w:val="en-GB"/>
        </w:rPr>
        <w:t>H</w:t>
      </w:r>
      <w:r w:rsidRPr="00E4462A">
        <w:rPr>
          <w:b/>
          <w:u w:val="single"/>
          <w:vertAlign w:val="subscript"/>
          <w:lang w:val="en-GB"/>
        </w:rPr>
        <w:t>3</w:t>
      </w:r>
      <w:r w:rsidRPr="00E4462A">
        <w:rPr>
          <w:lang w:val="en-GB"/>
        </w:rPr>
        <w:t>C-C</w:t>
      </w:r>
      <w:r w:rsidRPr="00E4462A">
        <w:rPr>
          <w:vertAlign w:val="subscript"/>
          <w:lang w:val="en-GB"/>
        </w:rPr>
        <w:t>n</w:t>
      </w:r>
      <w:r w:rsidRPr="00E4462A">
        <w:rPr>
          <w:lang w:val="en-GB"/>
        </w:rPr>
        <w:t>-X cross peaks, with n = 1 (</w:t>
      </w:r>
      <w:r w:rsidRPr="00E4462A">
        <w:rPr>
          <w:rFonts w:ascii="Symbol" w:hAnsi="Symbol"/>
          <w:lang w:val="en-GB"/>
        </w:rPr>
        <w:t></w:t>
      </w:r>
      <w:r w:rsidRPr="00E4462A">
        <w:rPr>
          <w:vertAlign w:val="subscript"/>
          <w:lang w:val="en-GB"/>
        </w:rPr>
        <w:t>H</w:t>
      </w:r>
      <w:r w:rsidRPr="00E4462A">
        <w:rPr>
          <w:lang w:val="en-GB"/>
        </w:rPr>
        <w:t xml:space="preserve"> &gt; 3) and  n &gt; 1 (</w:t>
      </w:r>
      <w:r w:rsidRPr="00E4462A">
        <w:rPr>
          <w:rFonts w:ascii="Symbol" w:hAnsi="Symbol"/>
          <w:lang w:val="en-GB"/>
        </w:rPr>
        <w:t></w:t>
      </w:r>
      <w:r w:rsidRPr="00E4462A">
        <w:rPr>
          <w:vertAlign w:val="subscript"/>
          <w:lang w:val="en-GB"/>
        </w:rPr>
        <w:t>H</w:t>
      </w:r>
      <w:r w:rsidRPr="00E4462A">
        <w:rPr>
          <w:lang w:val="en-GB"/>
        </w:rPr>
        <w:t xml:space="preserve"> &lt; 3); </w:t>
      </w:r>
      <w:r w:rsidR="00D21B52" w:rsidRPr="00E4462A">
        <w:rPr>
          <w:lang w:val="en-GB"/>
        </w:rPr>
        <w:t xml:space="preserve">where </w:t>
      </w:r>
      <w:r w:rsidRPr="00E4462A">
        <w:rPr>
          <w:lang w:val="en-GB"/>
        </w:rPr>
        <w:t>X</w:t>
      </w:r>
      <w:r w:rsidR="00D21B52" w:rsidRPr="00E4462A">
        <w:rPr>
          <w:lang w:val="en-GB"/>
        </w:rPr>
        <w:t xml:space="preserve"> is</w:t>
      </w:r>
      <w:r w:rsidRPr="00E4462A">
        <w:rPr>
          <w:lang w:val="en-GB"/>
        </w:rPr>
        <w:t xml:space="preserve"> any heteroatom, likely oxygen; section b: -C-C</w:t>
      </w:r>
      <w:r w:rsidRPr="00E4462A">
        <w:rPr>
          <w:b/>
          <w:u w:val="single"/>
          <w:lang w:val="en-GB"/>
        </w:rPr>
        <w:t>H</w:t>
      </w:r>
      <w:r w:rsidRPr="00E4462A">
        <w:rPr>
          <w:lang w:val="en-GB"/>
        </w:rPr>
        <w:t>-C</w:t>
      </w:r>
      <w:r w:rsidRPr="00E4462A">
        <w:rPr>
          <w:b/>
          <w:u w:val="single"/>
          <w:lang w:val="en-GB"/>
        </w:rPr>
        <w:t>H</w:t>
      </w:r>
      <w:r w:rsidRPr="00E4462A">
        <w:rPr>
          <w:lang w:val="en-GB"/>
        </w:rPr>
        <w:t>-C</w:t>
      </w:r>
      <w:r w:rsidRPr="00E4462A">
        <w:rPr>
          <w:vertAlign w:val="subscript"/>
          <w:lang w:val="en-GB"/>
        </w:rPr>
        <w:t>n</w:t>
      </w:r>
      <w:r w:rsidRPr="00E4462A">
        <w:rPr>
          <w:lang w:val="en-GB"/>
        </w:rPr>
        <w:t xml:space="preserve">-X-, intra-aliphatic cross peaks; section c: </w:t>
      </w:r>
      <w:r w:rsidRPr="00E4462A">
        <w:rPr>
          <w:rFonts w:ascii="Symbol" w:hAnsi="Symbol"/>
          <w:lang w:val="en-GB"/>
        </w:rPr>
        <w:t></w:t>
      </w:r>
      <w:r w:rsidRPr="00E4462A">
        <w:rPr>
          <w:lang w:val="en-GB"/>
        </w:rPr>
        <w:t>,</w:t>
      </w:r>
      <w:r w:rsidRPr="00E4462A">
        <w:rPr>
          <w:rFonts w:ascii="Symbol" w:hAnsi="Symbol"/>
          <w:lang w:val="en-GB"/>
        </w:rPr>
        <w:t></w:t>
      </w:r>
      <w:r w:rsidRPr="00E4462A">
        <w:rPr>
          <w:lang w:val="en-GB"/>
        </w:rPr>
        <w:t xml:space="preserve">-unsaturated </w:t>
      </w:r>
      <w:r w:rsidR="004A521C" w:rsidRPr="00E4462A">
        <w:rPr>
          <w:lang w:val="en-GB"/>
        </w:rPr>
        <w:t xml:space="preserve">and conjugated </w:t>
      </w:r>
      <w:r w:rsidRPr="00E4462A">
        <w:rPr>
          <w:lang w:val="en-GB"/>
        </w:rPr>
        <w:t xml:space="preserve">double bonds: </w:t>
      </w:r>
      <w:r w:rsidRPr="00E4462A">
        <w:rPr>
          <w:b/>
          <w:u w:val="single"/>
          <w:lang w:val="en-GB"/>
        </w:rPr>
        <w:t>H</w:t>
      </w:r>
      <w:r w:rsidRPr="00E4462A">
        <w:rPr>
          <w:lang w:val="en-GB"/>
        </w:rPr>
        <w:t>C</w:t>
      </w:r>
      <w:r w:rsidRPr="00E4462A">
        <w:rPr>
          <w:vertAlign w:val="subscript"/>
          <w:lang w:val="en-GB"/>
        </w:rPr>
        <w:t>olefin</w:t>
      </w:r>
      <w:r w:rsidRPr="00E4462A">
        <w:rPr>
          <w:lang w:val="en-GB"/>
        </w:rPr>
        <w:t>=C</w:t>
      </w:r>
      <w:r w:rsidRPr="00E4462A">
        <w:rPr>
          <w:vertAlign w:val="subscript"/>
          <w:lang w:val="en-GB"/>
        </w:rPr>
        <w:t>olefin</w:t>
      </w:r>
      <w:r w:rsidRPr="00E4462A">
        <w:rPr>
          <w:b/>
          <w:u w:val="single"/>
          <w:lang w:val="en-GB"/>
        </w:rPr>
        <w:t>H</w:t>
      </w:r>
      <w:r w:rsidRPr="00E4462A">
        <w:rPr>
          <w:lang w:val="en-GB"/>
        </w:rPr>
        <w:t xml:space="preserve">-(C=O)-X; section d: polarized </w:t>
      </w:r>
      <w:r w:rsidRPr="00E4462A">
        <w:rPr>
          <w:rFonts w:ascii="Symbol" w:hAnsi="Symbol"/>
          <w:lang w:val="en-GB"/>
        </w:rPr>
        <w:t></w:t>
      </w:r>
      <w:r w:rsidRPr="00E4462A">
        <w:rPr>
          <w:lang w:val="en-GB"/>
        </w:rPr>
        <w:t>,</w:t>
      </w:r>
      <w:r w:rsidRPr="00E4462A">
        <w:rPr>
          <w:rFonts w:ascii="Symbol" w:hAnsi="Symbol"/>
          <w:lang w:val="en-GB"/>
        </w:rPr>
        <w:t></w:t>
      </w:r>
      <w:r w:rsidRPr="00E4462A">
        <w:rPr>
          <w:lang w:val="en-GB"/>
        </w:rPr>
        <w:t xml:space="preserve">-unsaturated double bonds: </w:t>
      </w:r>
      <w:r w:rsidRPr="00E4462A">
        <w:rPr>
          <w:b/>
          <w:u w:val="single"/>
          <w:lang w:val="en-GB"/>
        </w:rPr>
        <w:t>H</w:t>
      </w:r>
      <w:r w:rsidRPr="00E4462A">
        <w:rPr>
          <w:lang w:val="en-GB"/>
        </w:rPr>
        <w:t>C</w:t>
      </w:r>
      <w:r w:rsidRPr="00E4462A">
        <w:rPr>
          <w:vertAlign w:val="subscript"/>
          <w:lang w:val="en-GB"/>
        </w:rPr>
        <w:t>olefin</w:t>
      </w:r>
      <w:r w:rsidRPr="00E4462A">
        <w:rPr>
          <w:lang w:val="en-GB"/>
        </w:rPr>
        <w:t>=C</w:t>
      </w:r>
      <w:r w:rsidRPr="00E4462A">
        <w:rPr>
          <w:vertAlign w:val="subscript"/>
          <w:lang w:val="en-GB"/>
        </w:rPr>
        <w:t>olefin</w:t>
      </w:r>
      <w:r w:rsidRPr="00E4462A">
        <w:rPr>
          <w:b/>
          <w:u w:val="single"/>
          <w:lang w:val="en-GB"/>
        </w:rPr>
        <w:t>H</w:t>
      </w:r>
      <w:r w:rsidRPr="00E4462A">
        <w:rPr>
          <w:lang w:val="en-GB"/>
        </w:rPr>
        <w:t xml:space="preserve">-(C=O)-X; section e: congested fjord region in polycyclic aromatics; section f: aromatics </w:t>
      </w:r>
      <w:r w:rsidRPr="00E4462A">
        <w:rPr>
          <w:b/>
          <w:u w:val="single"/>
          <w:lang w:val="en-GB"/>
        </w:rPr>
        <w:t>H</w:t>
      </w:r>
      <w:r w:rsidRPr="00E4462A">
        <w:rPr>
          <w:lang w:val="en-GB"/>
        </w:rPr>
        <w:t>C</w:t>
      </w:r>
      <w:r w:rsidRPr="00E4462A">
        <w:rPr>
          <w:vertAlign w:val="subscript"/>
          <w:lang w:val="en-GB"/>
        </w:rPr>
        <w:t>aromatic</w:t>
      </w:r>
      <w:r w:rsidRPr="00E4462A">
        <w:rPr>
          <w:lang w:val="en-GB"/>
        </w:rPr>
        <w:t>-C</w:t>
      </w:r>
      <w:r w:rsidRPr="00E4462A">
        <w:rPr>
          <w:vertAlign w:val="subscript"/>
          <w:lang w:val="en-GB"/>
        </w:rPr>
        <w:t>aromatic</w:t>
      </w:r>
      <w:r w:rsidRPr="00E4462A">
        <w:rPr>
          <w:b/>
          <w:u w:val="single"/>
          <w:lang w:val="en-GB"/>
        </w:rPr>
        <w:t>H</w:t>
      </w:r>
      <w:r w:rsidRPr="00E4462A">
        <w:rPr>
          <w:lang w:val="en-GB"/>
        </w:rPr>
        <w:t xml:space="preserve"> with ortho or/and para oxygenated substituents (classic aromatic substitution of </w:t>
      </w:r>
      <w:r w:rsidR="00D21B52" w:rsidRPr="00E4462A">
        <w:rPr>
          <w:lang w:val="en-GB"/>
        </w:rPr>
        <w:t>DOM</w:t>
      </w:r>
      <w:r w:rsidRPr="00E4462A">
        <w:rPr>
          <w:lang w:val="en-GB"/>
        </w:rPr>
        <w:t xml:space="preserve">); section g: condensed and strongly electron withdrawing aromatics </w:t>
      </w:r>
      <w:r w:rsidRPr="00E4462A">
        <w:rPr>
          <w:b/>
          <w:u w:val="single"/>
          <w:lang w:val="en-GB"/>
        </w:rPr>
        <w:t>H</w:t>
      </w:r>
      <w:r w:rsidRPr="00E4462A">
        <w:rPr>
          <w:lang w:val="en-GB"/>
        </w:rPr>
        <w:t>C</w:t>
      </w:r>
      <w:r w:rsidRPr="00E4462A">
        <w:rPr>
          <w:vertAlign w:val="subscript"/>
          <w:lang w:val="en-GB"/>
        </w:rPr>
        <w:t>aromatic</w:t>
      </w:r>
      <w:r w:rsidRPr="00E4462A">
        <w:rPr>
          <w:lang w:val="en-GB"/>
        </w:rPr>
        <w:t>-C</w:t>
      </w:r>
      <w:r w:rsidRPr="00E4462A">
        <w:rPr>
          <w:vertAlign w:val="subscript"/>
          <w:lang w:val="en-GB"/>
        </w:rPr>
        <w:t>aromatic</w:t>
      </w:r>
      <w:r w:rsidRPr="00E4462A">
        <w:rPr>
          <w:b/>
          <w:u w:val="single"/>
          <w:lang w:val="en-GB"/>
        </w:rPr>
        <w:t>H</w:t>
      </w:r>
      <w:r w:rsidRPr="00E4462A">
        <w:rPr>
          <w:lang w:val="en-GB"/>
        </w:rPr>
        <w:t xml:space="preserve"> (multiply carboxylated, N-heterocycles); section h: </w:t>
      </w:r>
      <w:r w:rsidR="004A521C" w:rsidRPr="00E4462A">
        <w:rPr>
          <w:lang w:val="en-GB"/>
        </w:rPr>
        <w:t>(</w:t>
      </w:r>
      <w:r w:rsidRPr="00E4462A">
        <w:rPr>
          <w:lang w:val="en-GB"/>
        </w:rPr>
        <w:t>more extended</w:t>
      </w:r>
      <w:r w:rsidR="004A521C" w:rsidRPr="00E4462A">
        <w:rPr>
          <w:lang w:val="en-GB"/>
        </w:rPr>
        <w:t>)</w:t>
      </w:r>
      <w:r w:rsidRPr="00E4462A">
        <w:rPr>
          <w:lang w:val="en-GB"/>
        </w:rPr>
        <w:t xml:space="preserve"> polycyclic aromatics,</w:t>
      </w:r>
      <w:r w:rsidR="004A521C" w:rsidRPr="00E4462A">
        <w:rPr>
          <w:lang w:val="en-GB"/>
        </w:rPr>
        <w:t xml:space="preserve"> polycarboxylated aromatics, </w:t>
      </w:r>
      <w:r w:rsidRPr="00E4462A">
        <w:rPr>
          <w:lang w:val="en-GB"/>
        </w:rPr>
        <w:t xml:space="preserve"> N-heterocycles. Panel D: Sections of chemical shift for substituted aromatics as proposed by SPARIA model (</w:t>
      </w:r>
      <w:r w:rsidRPr="00E4462A">
        <w:rPr>
          <w:b/>
          <w:u w:val="single"/>
          <w:lang w:val="en-GB"/>
        </w:rPr>
        <w:t>s</w:t>
      </w:r>
      <w:r w:rsidRPr="00E4462A">
        <w:rPr>
          <w:lang w:val="en-GB"/>
        </w:rPr>
        <w:t xml:space="preserve">ubstitution </w:t>
      </w:r>
      <w:r w:rsidRPr="00E4462A">
        <w:rPr>
          <w:b/>
          <w:u w:val="single"/>
          <w:lang w:val="en-GB"/>
        </w:rPr>
        <w:t>p</w:t>
      </w:r>
      <w:r w:rsidRPr="00E4462A">
        <w:rPr>
          <w:lang w:val="en-GB"/>
        </w:rPr>
        <w:t xml:space="preserve">atterns in </w:t>
      </w:r>
      <w:r w:rsidRPr="00E4462A">
        <w:rPr>
          <w:b/>
          <w:u w:val="single"/>
          <w:lang w:val="en-GB"/>
        </w:rPr>
        <w:lastRenderedPageBreak/>
        <w:t>a</w:t>
      </w:r>
      <w:r w:rsidRPr="00E4462A">
        <w:rPr>
          <w:lang w:val="en-GB"/>
        </w:rPr>
        <w:t xml:space="preserve">romatic </w:t>
      </w:r>
      <w:r w:rsidRPr="00E4462A">
        <w:rPr>
          <w:b/>
          <w:u w:val="single"/>
          <w:lang w:val="en-GB"/>
        </w:rPr>
        <w:t>r</w:t>
      </w:r>
      <w:r w:rsidRPr="00E4462A">
        <w:rPr>
          <w:lang w:val="en-GB"/>
        </w:rPr>
        <w:t xml:space="preserve">ings by </w:t>
      </w:r>
      <w:r w:rsidRPr="00E4462A">
        <w:rPr>
          <w:b/>
          <w:u w:val="single"/>
          <w:lang w:val="en-GB"/>
        </w:rPr>
        <w:t>i</w:t>
      </w:r>
      <w:r w:rsidRPr="00E4462A">
        <w:rPr>
          <w:lang w:val="en-GB"/>
        </w:rPr>
        <w:t xml:space="preserve">ncrement </w:t>
      </w:r>
      <w:r w:rsidRPr="00E4462A">
        <w:rPr>
          <w:b/>
          <w:u w:val="single"/>
          <w:lang w:val="en-GB"/>
        </w:rPr>
        <w:t>a</w:t>
      </w:r>
      <w:r w:rsidRPr="00E4462A">
        <w:rPr>
          <w:lang w:val="en-GB"/>
        </w:rPr>
        <w:t>nalysis): COR: electron withdrawing substituents; R: electroneutral substituents; OR: electron-donating substituents (Perdue et al., 2007).</w:t>
      </w:r>
    </w:p>
    <w:p w14:paraId="0BC0105E" w14:textId="77777777" w:rsidR="00043193" w:rsidRPr="00E4462A" w:rsidRDefault="00043193" w:rsidP="008B22B1">
      <w:pPr>
        <w:spacing w:line="360" w:lineRule="auto"/>
        <w:jc w:val="both"/>
        <w:rPr>
          <w:lang w:val="en-US"/>
        </w:rPr>
      </w:pPr>
    </w:p>
    <w:p w14:paraId="62409B59" w14:textId="6D533DE9" w:rsidR="00043193" w:rsidRPr="00E4462A" w:rsidRDefault="00043193" w:rsidP="008B22B1">
      <w:pPr>
        <w:spacing w:line="360" w:lineRule="auto"/>
        <w:jc w:val="both"/>
        <w:rPr>
          <w:lang w:val="en-GB"/>
        </w:rPr>
      </w:pPr>
      <w:r w:rsidRPr="00E4462A">
        <w:rPr>
          <w:b/>
          <w:lang w:val="en-GB"/>
        </w:rPr>
        <w:t>Fig</w:t>
      </w:r>
      <w:r w:rsidRPr="00E4462A">
        <w:rPr>
          <w:rFonts w:hint="eastAsia"/>
          <w:b/>
          <w:lang w:val="en-GB" w:eastAsia="zh-CN"/>
        </w:rPr>
        <w:t>.</w:t>
      </w:r>
      <w:r w:rsidRPr="00E4462A">
        <w:rPr>
          <w:b/>
          <w:lang w:val="en-GB" w:eastAsia="zh-CN"/>
        </w:rPr>
        <w:t xml:space="preserve"> </w:t>
      </w:r>
      <w:r w:rsidR="00F56627" w:rsidRPr="00E4462A">
        <w:rPr>
          <w:b/>
          <w:lang w:val="en-GB" w:eastAsia="zh-CN"/>
        </w:rPr>
        <w:t>4</w:t>
      </w:r>
      <w:r w:rsidRPr="00E4462A">
        <w:rPr>
          <w:b/>
          <w:lang w:val="en-GB"/>
        </w:rPr>
        <w:t xml:space="preserve">. </w:t>
      </w:r>
      <w:r w:rsidRPr="00E4462A">
        <w:rPr>
          <w:vertAlign w:val="superscript"/>
          <w:lang w:val="en-GB"/>
        </w:rPr>
        <w:t>1</w:t>
      </w:r>
      <w:r w:rsidRPr="00E4462A">
        <w:rPr>
          <w:lang w:val="en-GB"/>
        </w:rPr>
        <w:t xml:space="preserve">H, </w:t>
      </w:r>
      <w:r w:rsidRPr="00E4462A">
        <w:rPr>
          <w:vertAlign w:val="superscript"/>
          <w:lang w:val="en-GB"/>
        </w:rPr>
        <w:t>13</w:t>
      </w:r>
      <w:r w:rsidRPr="00E4462A">
        <w:rPr>
          <w:lang w:val="en-GB"/>
        </w:rPr>
        <w:t xml:space="preserve">C HSQC NMR cross peaks of FCE-S; section of unsaturated (olefinic and aromatic) protons </w:t>
      </w:r>
      <w:r w:rsidRPr="00E4462A">
        <w:rPr>
          <w:rFonts w:ascii="Symbol" w:hAnsi="Symbol"/>
          <w:lang w:val="en-GB"/>
        </w:rPr>
        <w:t></w:t>
      </w:r>
      <w:r w:rsidRPr="00E4462A">
        <w:rPr>
          <w:vertAlign w:val="subscript"/>
          <w:lang w:val="en-GB"/>
        </w:rPr>
        <w:t>H</w:t>
      </w:r>
      <w:r w:rsidRPr="00E4462A">
        <w:rPr>
          <w:lang w:val="en-GB"/>
        </w:rPr>
        <w:t xml:space="preserve"> = </w:t>
      </w:r>
      <w:r w:rsidR="00B23D57" w:rsidRPr="00E4462A">
        <w:rPr>
          <w:lang w:val="en-GB"/>
        </w:rPr>
        <w:t>4</w:t>
      </w:r>
      <w:r w:rsidRPr="00E4462A">
        <w:rPr>
          <w:lang w:val="en-GB"/>
        </w:rPr>
        <w:t>…10.5 ppm. Assignment in analogy to South Atlantic SPE-DOM FMAX (Hertkorn et al., 2013) with key substructures denoted as follows: section a: anomeric CH in carbohydrates (sp</w:t>
      </w:r>
      <w:r w:rsidRPr="00E4462A">
        <w:rPr>
          <w:vertAlign w:val="superscript"/>
          <w:lang w:val="en-GB"/>
        </w:rPr>
        <w:t>3</w:t>
      </w:r>
      <w:r w:rsidRPr="00E4462A">
        <w:rPr>
          <w:lang w:val="en-GB"/>
        </w:rPr>
        <w:t>-hybridized); section b: isolated olefins; section c: C-conjugated olefins, certain five membered N-, O- and S-heterocycles  (</w:t>
      </w:r>
      <w:r w:rsidRPr="00E4462A">
        <w:rPr>
          <w:rFonts w:ascii="Symbol" w:hAnsi="Symbol"/>
          <w:lang w:val="en-GB"/>
        </w:rPr>
        <w:t></w:t>
      </w:r>
      <w:r w:rsidRPr="00E4462A">
        <w:rPr>
          <w:vertAlign w:val="subscript"/>
          <w:lang w:val="en-GB"/>
        </w:rPr>
        <w:t>H</w:t>
      </w:r>
      <w:r w:rsidRPr="00E4462A">
        <w:rPr>
          <w:lang w:val="en-GB"/>
        </w:rPr>
        <w:t xml:space="preserve"> &lt; 6.5 ppm); section d: multiply oxygenated aromatics</w:t>
      </w:r>
      <w:r w:rsidR="004A521C" w:rsidRPr="00E4462A">
        <w:rPr>
          <w:lang w:val="en-GB"/>
        </w:rPr>
        <w:t xml:space="preserve"> including oxygen heterocycles</w:t>
      </w:r>
      <w:r w:rsidRPr="00E4462A">
        <w:rPr>
          <w:lang w:val="en-GB"/>
        </w:rPr>
        <w:t xml:space="preserve">, lignin derivatives, syringyl units (S2/6); section e: phenols, classical oxygenated </w:t>
      </w:r>
      <w:r w:rsidR="00B23D57" w:rsidRPr="00E4462A">
        <w:rPr>
          <w:lang w:val="en-GB"/>
        </w:rPr>
        <w:t>D</w:t>
      </w:r>
      <w:r w:rsidRPr="00E4462A">
        <w:rPr>
          <w:lang w:val="en-GB"/>
        </w:rPr>
        <w:t xml:space="preserve">OM aromatics, lignin derivatives, guaiacyl units (G2), certain admixture of carbonyl derivatives (likely carboxylic units), causing downfield </w:t>
      </w:r>
      <w:r w:rsidRPr="00E4462A">
        <w:rPr>
          <w:vertAlign w:val="superscript"/>
          <w:lang w:val="en-GB"/>
        </w:rPr>
        <w:t>1</w:t>
      </w:r>
      <w:r w:rsidRPr="00E4462A">
        <w:rPr>
          <w:lang w:val="en-GB"/>
        </w:rPr>
        <w:t xml:space="preserve">H NMR chemical shift </w:t>
      </w:r>
      <w:r w:rsidRPr="00E4462A">
        <w:rPr>
          <w:rFonts w:ascii="Symbol" w:hAnsi="Symbol"/>
          <w:lang w:val="en-GB"/>
        </w:rPr>
        <w:t></w:t>
      </w:r>
      <w:r w:rsidRPr="00E4462A">
        <w:rPr>
          <w:rFonts w:ascii="Symbol" w:hAnsi="Symbol"/>
          <w:lang w:val="en-GB"/>
        </w:rPr>
        <w:t></w:t>
      </w:r>
      <w:r w:rsidRPr="00E4462A">
        <w:rPr>
          <w:rFonts w:ascii="Symbol" w:hAnsi="Symbol"/>
          <w:lang w:val="en-GB"/>
        </w:rPr>
        <w:t></w:t>
      </w:r>
      <w:r w:rsidRPr="00E4462A">
        <w:rPr>
          <w:vertAlign w:val="subscript"/>
          <w:lang w:val="en-GB"/>
        </w:rPr>
        <w:t>H</w:t>
      </w:r>
      <w:r w:rsidRPr="00E4462A">
        <w:rPr>
          <w:lang w:val="en-GB"/>
        </w:rPr>
        <w:t xml:space="preserve"> &gt; 7.3 ppm ); section f: classical </w:t>
      </w:r>
      <w:r w:rsidR="00B23D57" w:rsidRPr="00E4462A">
        <w:rPr>
          <w:lang w:val="en-GB"/>
        </w:rPr>
        <w:t>D</w:t>
      </w:r>
      <w:r w:rsidRPr="00E4462A">
        <w:rPr>
          <w:lang w:val="en-GB"/>
        </w:rPr>
        <w:t xml:space="preserve">OM aromatic, lignin derivatives, guaiacyl units (G5/6), para-coumarate (C3/5); section g: classical </w:t>
      </w:r>
      <w:r w:rsidR="00B23D57" w:rsidRPr="00E4462A">
        <w:rPr>
          <w:lang w:val="en-GB"/>
        </w:rPr>
        <w:t>D</w:t>
      </w:r>
      <w:r w:rsidRPr="00E4462A">
        <w:rPr>
          <w:lang w:val="en-GB"/>
        </w:rPr>
        <w:t>OM aromatics with high proportion of carboxylated units; at</w:t>
      </w:r>
      <w:r w:rsidRPr="00E4462A">
        <w:rPr>
          <w:rFonts w:ascii="Symbol" w:hAnsi="Symbol"/>
          <w:lang w:val="en-GB"/>
        </w:rPr>
        <w:t></w:t>
      </w:r>
      <w:r w:rsidRPr="00E4462A">
        <w:rPr>
          <w:rFonts w:ascii="Symbol" w:hAnsi="Symbol"/>
          <w:lang w:val="en-GB"/>
        </w:rPr>
        <w:t></w:t>
      </w:r>
      <w:r w:rsidRPr="00E4462A">
        <w:rPr>
          <w:vertAlign w:val="subscript"/>
          <w:lang w:val="en-GB"/>
        </w:rPr>
        <w:t>H</w:t>
      </w:r>
      <w:r w:rsidRPr="00E4462A">
        <w:rPr>
          <w:lang w:val="en-GB"/>
        </w:rPr>
        <w:t xml:space="preserve"> &gt; 8 ppm: multiply carboxylated aromatics, classical PAH and</w:t>
      </w:r>
      <w:r w:rsidR="004A521C" w:rsidRPr="00E4462A">
        <w:rPr>
          <w:lang w:val="en-GB"/>
        </w:rPr>
        <w:t xml:space="preserve"> certain</w:t>
      </w:r>
      <w:r w:rsidRPr="00E4462A">
        <w:rPr>
          <w:lang w:val="en-GB"/>
        </w:rPr>
        <w:t xml:space="preserve"> six-membered nitrogen heterocycles; sterically uncongested </w:t>
      </w:r>
      <w:r w:rsidR="006C688D" w:rsidRPr="00E4462A">
        <w:rPr>
          <w:lang w:val="en-GB"/>
        </w:rPr>
        <w:t>PAH</w:t>
      </w:r>
      <w:r w:rsidRPr="00E4462A">
        <w:rPr>
          <w:lang w:val="en-GB"/>
        </w:rPr>
        <w:t xml:space="preserve">; section h: </w:t>
      </w:r>
      <w:r w:rsidRPr="00E4462A">
        <w:rPr>
          <w:rFonts w:ascii="Symbol" w:hAnsi="Symbol"/>
          <w:lang w:val="en-GB"/>
        </w:rPr>
        <w:t></w:t>
      </w:r>
      <w:r w:rsidRPr="00E4462A">
        <w:rPr>
          <w:lang w:val="en-GB"/>
        </w:rPr>
        <w:t>,</w:t>
      </w:r>
      <w:r w:rsidRPr="00E4462A">
        <w:rPr>
          <w:rFonts w:ascii="Symbol" w:hAnsi="Symbol"/>
          <w:lang w:val="en-GB"/>
        </w:rPr>
        <w:t></w:t>
      </w:r>
      <w:r w:rsidRPr="00E4462A">
        <w:rPr>
          <w:lang w:val="en-GB"/>
        </w:rPr>
        <w:t xml:space="preserve">-unsaturated double bonds for </w:t>
      </w:r>
      <w:r w:rsidRPr="00E4462A">
        <w:rPr>
          <w:rFonts w:ascii="Symbol" w:hAnsi="Symbol"/>
          <w:lang w:val="en-GB"/>
        </w:rPr>
        <w:t></w:t>
      </w:r>
      <w:r w:rsidRPr="00E4462A">
        <w:rPr>
          <w:vertAlign w:val="subscript"/>
          <w:lang w:val="en-GB"/>
        </w:rPr>
        <w:t>C</w:t>
      </w:r>
      <w:r w:rsidRPr="00E4462A">
        <w:rPr>
          <w:lang w:val="en-GB"/>
        </w:rPr>
        <w:t xml:space="preserve"> &gt; 140 ppm, including double bonds adjacent to aromatics: C-</w:t>
      </w:r>
      <w:r w:rsidRPr="00E4462A">
        <w:rPr>
          <w:b/>
          <w:u w:val="single"/>
          <w:lang w:val="en-GB"/>
        </w:rPr>
        <w:t>HC</w:t>
      </w:r>
      <w:r w:rsidRPr="00E4462A">
        <w:rPr>
          <w:vertAlign w:val="subscript"/>
          <w:lang w:val="en-GB"/>
        </w:rPr>
        <w:t>olefin</w:t>
      </w:r>
      <w:r w:rsidRPr="00E4462A">
        <w:rPr>
          <w:lang w:val="en-GB"/>
        </w:rPr>
        <w:t>=</w:t>
      </w:r>
      <w:r w:rsidRPr="00E4462A">
        <w:rPr>
          <w:b/>
          <w:u w:val="single"/>
          <w:lang w:val="en-GB"/>
        </w:rPr>
        <w:t>C</w:t>
      </w:r>
      <w:r w:rsidRPr="00E4462A">
        <w:rPr>
          <w:b/>
          <w:u w:val="single"/>
          <w:vertAlign w:val="subscript"/>
          <w:lang w:val="en-GB"/>
        </w:rPr>
        <w:t>olefin</w:t>
      </w:r>
      <w:r w:rsidRPr="00E4462A">
        <w:rPr>
          <w:b/>
          <w:u w:val="single"/>
          <w:lang w:val="en-GB"/>
        </w:rPr>
        <w:t>H</w:t>
      </w:r>
      <w:r w:rsidRPr="00E4462A">
        <w:rPr>
          <w:lang w:val="en-GB"/>
        </w:rPr>
        <w:t>-(C=O</w:t>
      </w:r>
      <w:r w:rsidR="004A521C" w:rsidRPr="00E4462A">
        <w:rPr>
          <w:lang w:val="en-GB"/>
        </w:rPr>
        <w:t>)</w:t>
      </w:r>
      <w:r w:rsidRPr="00E4462A">
        <w:rPr>
          <w:lang w:val="en-GB"/>
        </w:rPr>
        <w:t>, C</w:t>
      </w:r>
      <w:r w:rsidRPr="00E4462A">
        <w:rPr>
          <w:vertAlign w:val="subscript"/>
          <w:lang w:val="en-GB"/>
        </w:rPr>
        <w:t>ar</w:t>
      </w:r>
      <w:r w:rsidRPr="00E4462A">
        <w:rPr>
          <w:lang w:val="en-GB"/>
        </w:rPr>
        <w:t xml:space="preserve">-X; section i: nitrogen heterocycles, heteroatom substituted polycyclic aromatics; section j: certain six-membered nitrogen heterocycles, very likely with more than one nitrogen. The green area highlights the HSQC cross peak region accessible to single benzene rings substituted by common electron withdrawing, neutral and electron-donating common substituents of natural organic matter; SPARIA: </w:t>
      </w:r>
      <w:r w:rsidRPr="00E4462A">
        <w:rPr>
          <w:b/>
          <w:u w:val="single"/>
          <w:lang w:val="en-GB"/>
        </w:rPr>
        <w:t>s</w:t>
      </w:r>
      <w:r w:rsidRPr="00E4462A">
        <w:rPr>
          <w:lang w:val="en-GB"/>
        </w:rPr>
        <w:t xml:space="preserve">ubstitution </w:t>
      </w:r>
      <w:r w:rsidRPr="00E4462A">
        <w:rPr>
          <w:b/>
          <w:u w:val="single"/>
          <w:lang w:val="en-GB"/>
        </w:rPr>
        <w:t>p</w:t>
      </w:r>
      <w:r w:rsidRPr="00E4462A">
        <w:rPr>
          <w:lang w:val="en-GB"/>
        </w:rPr>
        <w:t xml:space="preserve">atterns in </w:t>
      </w:r>
      <w:r w:rsidRPr="00E4462A">
        <w:rPr>
          <w:b/>
          <w:u w:val="single"/>
          <w:lang w:val="en-GB"/>
        </w:rPr>
        <w:t>a</w:t>
      </w:r>
      <w:r w:rsidRPr="00E4462A">
        <w:rPr>
          <w:lang w:val="en-GB"/>
        </w:rPr>
        <w:t xml:space="preserve">romatic </w:t>
      </w:r>
      <w:r w:rsidRPr="00E4462A">
        <w:rPr>
          <w:b/>
          <w:u w:val="single"/>
          <w:lang w:val="en-GB"/>
        </w:rPr>
        <w:t>r</w:t>
      </w:r>
      <w:r w:rsidRPr="00E4462A">
        <w:rPr>
          <w:lang w:val="en-GB"/>
        </w:rPr>
        <w:t xml:space="preserve">ings by </w:t>
      </w:r>
      <w:r w:rsidRPr="00E4462A">
        <w:rPr>
          <w:b/>
          <w:u w:val="single"/>
          <w:lang w:val="en-GB"/>
        </w:rPr>
        <w:t>i</w:t>
      </w:r>
      <w:r w:rsidRPr="00E4462A">
        <w:rPr>
          <w:lang w:val="en-GB"/>
        </w:rPr>
        <w:t xml:space="preserve">ncrement </w:t>
      </w:r>
      <w:r w:rsidRPr="00E4462A">
        <w:rPr>
          <w:b/>
          <w:u w:val="single"/>
          <w:lang w:val="en-GB"/>
        </w:rPr>
        <w:t>a</w:t>
      </w:r>
      <w:r w:rsidRPr="00E4462A">
        <w:rPr>
          <w:lang w:val="en-GB"/>
        </w:rPr>
        <w:t>nalysis (Perdue et al., 2007).</w:t>
      </w:r>
    </w:p>
    <w:p w14:paraId="63947DD2" w14:textId="77777777" w:rsidR="00043193" w:rsidRPr="00E4462A" w:rsidRDefault="00043193" w:rsidP="008B22B1">
      <w:pPr>
        <w:spacing w:line="360" w:lineRule="auto"/>
        <w:jc w:val="both"/>
        <w:rPr>
          <w:lang w:val="en-GB"/>
        </w:rPr>
      </w:pPr>
    </w:p>
    <w:p w14:paraId="52ABCEFC" w14:textId="2D7AFDF8" w:rsidR="00043193" w:rsidRPr="00E4462A" w:rsidRDefault="00043193" w:rsidP="008B22B1">
      <w:pPr>
        <w:spacing w:line="360" w:lineRule="auto"/>
        <w:jc w:val="both"/>
        <w:rPr>
          <w:lang w:val="en-GB"/>
        </w:rPr>
      </w:pPr>
      <w:r w:rsidRPr="00E4462A">
        <w:rPr>
          <w:b/>
          <w:lang w:val="en-GB"/>
        </w:rPr>
        <w:t xml:space="preserve">Fig. </w:t>
      </w:r>
      <w:r w:rsidR="00F56627" w:rsidRPr="00E4462A">
        <w:rPr>
          <w:b/>
          <w:lang w:val="en-GB"/>
        </w:rPr>
        <w:t>5</w:t>
      </w:r>
      <w:r w:rsidRPr="00E4462A">
        <w:rPr>
          <w:b/>
          <w:lang w:val="en-GB"/>
        </w:rPr>
        <w:t xml:space="preserve">. </w:t>
      </w:r>
      <w:r w:rsidRPr="00E4462A">
        <w:rPr>
          <w:lang w:val="en-GB"/>
        </w:rPr>
        <w:t>Methylene (CH</w:t>
      </w:r>
      <w:r w:rsidRPr="00E4462A">
        <w:rPr>
          <w:vertAlign w:val="subscript"/>
          <w:lang w:val="en-GB"/>
        </w:rPr>
        <w:t>2</w:t>
      </w:r>
      <w:r w:rsidRPr="00E4462A">
        <w:rPr>
          <w:lang w:val="en-GB"/>
        </w:rPr>
        <w:t xml:space="preserve">) selective </w:t>
      </w:r>
      <w:r w:rsidRPr="00E4462A">
        <w:rPr>
          <w:vertAlign w:val="superscript"/>
          <w:lang w:val="en-GB"/>
        </w:rPr>
        <w:t>1</w:t>
      </w:r>
      <w:r w:rsidRPr="00E4462A">
        <w:rPr>
          <w:lang w:val="en-GB"/>
        </w:rPr>
        <w:t xml:space="preserve">H, </w:t>
      </w:r>
      <w:r w:rsidRPr="00E4462A">
        <w:rPr>
          <w:vertAlign w:val="superscript"/>
          <w:lang w:val="en-GB"/>
        </w:rPr>
        <w:t>13</w:t>
      </w:r>
      <w:r w:rsidRPr="00E4462A">
        <w:rPr>
          <w:lang w:val="en-GB"/>
        </w:rPr>
        <w:t>C DEPT – HSQC NMR spectrum of SPE-DOM FCE-S with assignment of major substructures; general colours: CH</w:t>
      </w:r>
      <w:r w:rsidRPr="00E4462A">
        <w:rPr>
          <w:vertAlign w:val="subscript"/>
          <w:lang w:val="en-GB"/>
        </w:rPr>
        <w:t>3</w:t>
      </w:r>
      <w:r w:rsidRPr="00E4462A">
        <w:rPr>
          <w:lang w:val="en-GB"/>
        </w:rPr>
        <w:t>: red; CH</w:t>
      </w:r>
      <w:r w:rsidRPr="00E4462A">
        <w:rPr>
          <w:vertAlign w:val="subscript"/>
          <w:lang w:val="en-GB"/>
        </w:rPr>
        <w:t>2</w:t>
      </w:r>
      <w:r w:rsidRPr="00E4462A">
        <w:rPr>
          <w:lang w:val="en-GB"/>
        </w:rPr>
        <w:t xml:space="preserve"> green, and CH: gray; section a: C-</w:t>
      </w:r>
      <w:r w:rsidRPr="00E4462A">
        <w:rPr>
          <w:b/>
          <w:u w:val="single"/>
          <w:lang w:val="en-GB"/>
        </w:rPr>
        <w:t>CH</w:t>
      </w:r>
      <w:r w:rsidRPr="00E4462A">
        <w:rPr>
          <w:vertAlign w:val="subscript"/>
          <w:lang w:val="en-GB"/>
        </w:rPr>
        <w:t>3</w:t>
      </w:r>
      <w:r w:rsidRPr="00E4462A">
        <w:rPr>
          <w:lang w:val="en-GB"/>
        </w:rPr>
        <w:t xml:space="preserve"> cross peaks; section b: C=C-</w:t>
      </w:r>
      <w:r w:rsidRPr="00E4462A">
        <w:rPr>
          <w:b/>
          <w:u w:val="single"/>
          <w:lang w:val="en-GB"/>
        </w:rPr>
        <w:t>CH</w:t>
      </w:r>
      <w:r w:rsidRPr="00E4462A">
        <w:rPr>
          <w:vertAlign w:val="subscript"/>
          <w:lang w:val="en-GB"/>
        </w:rPr>
        <w:t>3</w:t>
      </w:r>
      <w:r w:rsidRPr="00E4462A">
        <w:rPr>
          <w:lang w:val="en-GB"/>
        </w:rPr>
        <w:t xml:space="preserve"> and -S</w:t>
      </w:r>
      <w:r w:rsidRPr="00E4462A">
        <w:rPr>
          <w:b/>
          <w:u w:val="single"/>
          <w:lang w:val="en-GB"/>
        </w:rPr>
        <w:t>CH</w:t>
      </w:r>
      <w:r w:rsidRPr="00E4462A">
        <w:rPr>
          <w:b/>
          <w:u w:val="single"/>
          <w:vertAlign w:val="subscript"/>
          <w:lang w:val="en-GB"/>
        </w:rPr>
        <w:t>3</w:t>
      </w:r>
      <w:r w:rsidRPr="00E4462A">
        <w:rPr>
          <w:u w:val="single"/>
          <w:lang w:val="en-GB"/>
        </w:rPr>
        <w:t xml:space="preserve"> </w:t>
      </w:r>
      <w:r w:rsidRPr="00E4462A">
        <w:rPr>
          <w:lang w:val="en-GB"/>
        </w:rPr>
        <w:t xml:space="preserve">cross peaks; section c: acetate </w:t>
      </w:r>
      <w:r w:rsidRPr="00E4462A">
        <w:rPr>
          <w:b/>
          <w:u w:val="single"/>
          <w:lang w:val="en-GB"/>
        </w:rPr>
        <w:t>H</w:t>
      </w:r>
      <w:r w:rsidRPr="00E4462A">
        <w:rPr>
          <w:b/>
          <w:u w:val="single"/>
          <w:vertAlign w:val="subscript"/>
          <w:lang w:val="en-GB"/>
        </w:rPr>
        <w:t>3</w:t>
      </w:r>
      <w:r w:rsidRPr="00E4462A">
        <w:rPr>
          <w:b/>
          <w:u w:val="single"/>
          <w:lang w:val="en-GB"/>
        </w:rPr>
        <w:t>C</w:t>
      </w:r>
      <w:r w:rsidRPr="00E4462A">
        <w:rPr>
          <w:lang w:val="en-GB"/>
        </w:rPr>
        <w:t>-C(=O)-O-C-; section d: C</w:t>
      </w:r>
      <w:r w:rsidRPr="00E4462A">
        <w:rPr>
          <w:vertAlign w:val="subscript"/>
          <w:lang w:val="en-GB"/>
        </w:rPr>
        <w:t>2</w:t>
      </w:r>
      <w:r w:rsidRPr="00E4462A">
        <w:rPr>
          <w:b/>
          <w:u w:val="single"/>
          <w:lang w:val="en-GB"/>
        </w:rPr>
        <w:t>CH</w:t>
      </w:r>
      <w:r w:rsidRPr="00E4462A">
        <w:rPr>
          <w:b/>
          <w:u w:val="single"/>
          <w:vertAlign w:val="subscript"/>
          <w:lang w:val="en-GB"/>
        </w:rPr>
        <w:t>2</w:t>
      </w:r>
      <w:r w:rsidRPr="00E4462A">
        <w:rPr>
          <w:lang w:val="en-GB"/>
        </w:rPr>
        <w:t xml:space="preserve"> cross peaks; section e: -C-</w:t>
      </w:r>
      <w:r w:rsidRPr="00E4462A">
        <w:rPr>
          <w:b/>
          <w:u w:val="single"/>
          <w:lang w:val="en-GB"/>
        </w:rPr>
        <w:t>CH</w:t>
      </w:r>
      <w:r w:rsidRPr="00E4462A">
        <w:rPr>
          <w:b/>
          <w:u w:val="single"/>
          <w:vertAlign w:val="subscript"/>
          <w:lang w:val="en-GB"/>
        </w:rPr>
        <w:t>2</w:t>
      </w:r>
      <w:r w:rsidRPr="00E4462A">
        <w:rPr>
          <w:lang w:val="en-GB"/>
        </w:rPr>
        <w:t>-COOH cross peaks; section f: C</w:t>
      </w:r>
      <w:r w:rsidRPr="00E4462A">
        <w:rPr>
          <w:vertAlign w:val="subscript"/>
          <w:lang w:val="en-GB"/>
        </w:rPr>
        <w:t>3</w:t>
      </w:r>
      <w:r w:rsidRPr="00E4462A">
        <w:rPr>
          <w:b/>
          <w:u w:val="single"/>
          <w:lang w:val="en-GB"/>
        </w:rPr>
        <w:t>CH</w:t>
      </w:r>
      <w:r w:rsidRPr="00E4462A">
        <w:rPr>
          <w:lang w:val="en-GB"/>
        </w:rPr>
        <w:t xml:space="preserve"> cross peaks; section g: only methoxy (O</w:t>
      </w:r>
      <w:r w:rsidRPr="00E4462A">
        <w:rPr>
          <w:b/>
          <w:u w:val="single"/>
          <w:lang w:val="en-GB"/>
        </w:rPr>
        <w:t>CH</w:t>
      </w:r>
      <w:r w:rsidRPr="00E4462A">
        <w:rPr>
          <w:b/>
          <w:u w:val="single"/>
          <w:vertAlign w:val="subscript"/>
          <w:lang w:val="en-GB"/>
        </w:rPr>
        <w:t>3</w:t>
      </w:r>
      <w:r w:rsidRPr="00E4462A">
        <w:rPr>
          <w:lang w:val="en-GB"/>
        </w:rPr>
        <w:t>) cross peaks are shown here; see insert: section g</w:t>
      </w:r>
      <w:r w:rsidRPr="00E4462A">
        <w:rPr>
          <w:vertAlign w:val="subscript"/>
          <w:lang w:val="en-GB"/>
        </w:rPr>
        <w:t>1</w:t>
      </w:r>
      <w:r w:rsidRPr="00E4462A">
        <w:rPr>
          <w:lang w:val="en-GB"/>
        </w:rPr>
        <w:t xml:space="preserve">: </w:t>
      </w:r>
      <w:r w:rsidRPr="00E4462A">
        <w:rPr>
          <w:b/>
          <w:lang w:val="en-GB"/>
        </w:rPr>
        <w:t>H</w:t>
      </w:r>
      <w:r w:rsidRPr="00E4462A">
        <w:rPr>
          <w:b/>
          <w:vertAlign w:val="subscript"/>
          <w:lang w:val="en-GB"/>
        </w:rPr>
        <w:t>3</w:t>
      </w:r>
      <w:r w:rsidRPr="00E4462A">
        <w:rPr>
          <w:b/>
          <w:lang w:val="en-GB"/>
        </w:rPr>
        <w:t>C</w:t>
      </w:r>
      <w:r w:rsidRPr="00E4462A">
        <w:rPr>
          <w:lang w:val="en-GB"/>
        </w:rPr>
        <w:t>OH (HD</w:t>
      </w:r>
      <w:r w:rsidRPr="00E4462A">
        <w:rPr>
          <w:vertAlign w:val="subscript"/>
          <w:lang w:val="en-GB"/>
        </w:rPr>
        <w:t>2</w:t>
      </w:r>
      <w:r w:rsidRPr="00E4462A">
        <w:rPr>
          <w:lang w:val="en-GB"/>
        </w:rPr>
        <w:t>COD shows methine carbon); sections g</w:t>
      </w:r>
      <w:r w:rsidRPr="00E4462A">
        <w:rPr>
          <w:vertAlign w:val="subscript"/>
          <w:lang w:val="en-GB"/>
        </w:rPr>
        <w:t>2</w:t>
      </w:r>
      <w:r w:rsidRPr="00E4462A">
        <w:rPr>
          <w:lang w:val="en-GB"/>
        </w:rPr>
        <w:t xml:space="preserve"> and g</w:t>
      </w:r>
      <w:r w:rsidRPr="00E4462A">
        <w:rPr>
          <w:vertAlign w:val="subscript"/>
          <w:lang w:val="en-GB"/>
        </w:rPr>
        <w:t>3</w:t>
      </w:r>
      <w:r w:rsidRPr="00E4462A">
        <w:rPr>
          <w:lang w:val="en-GB"/>
        </w:rPr>
        <w:t>: aliphatic (g</w:t>
      </w:r>
      <w:r w:rsidRPr="00E4462A">
        <w:rPr>
          <w:vertAlign w:val="subscript"/>
          <w:lang w:val="en-GB"/>
        </w:rPr>
        <w:t>2</w:t>
      </w:r>
      <w:r w:rsidRPr="00E4462A">
        <w:rPr>
          <w:lang w:val="en-GB"/>
        </w:rPr>
        <w:t>) and aromatic (g</w:t>
      </w:r>
      <w:r w:rsidRPr="00E4462A">
        <w:rPr>
          <w:vertAlign w:val="subscript"/>
          <w:lang w:val="en-GB"/>
        </w:rPr>
        <w:t>3</w:t>
      </w:r>
      <w:r w:rsidRPr="00E4462A">
        <w:rPr>
          <w:lang w:val="en-GB"/>
        </w:rPr>
        <w:t xml:space="preserve">) methyl esters </w:t>
      </w:r>
      <w:r w:rsidRPr="00E4462A">
        <w:rPr>
          <w:b/>
          <w:u w:val="single"/>
          <w:lang w:val="en-GB"/>
        </w:rPr>
        <w:t>H</w:t>
      </w:r>
      <w:r w:rsidRPr="00E4462A">
        <w:rPr>
          <w:b/>
          <w:u w:val="single"/>
          <w:vertAlign w:val="subscript"/>
          <w:lang w:val="en-GB"/>
        </w:rPr>
        <w:t>3</w:t>
      </w:r>
      <w:r w:rsidRPr="00E4462A">
        <w:rPr>
          <w:b/>
          <w:u w:val="single"/>
          <w:lang w:val="en-GB"/>
        </w:rPr>
        <w:t>C</w:t>
      </w:r>
      <w:r w:rsidRPr="00E4462A">
        <w:rPr>
          <w:lang w:val="en-GB"/>
        </w:rPr>
        <w:t>O-C(=O)-C-; section g</w:t>
      </w:r>
      <w:r w:rsidRPr="00E4462A">
        <w:rPr>
          <w:vertAlign w:val="subscript"/>
          <w:lang w:val="en-GB"/>
        </w:rPr>
        <w:t>4</w:t>
      </w:r>
      <w:r w:rsidRPr="00E4462A">
        <w:rPr>
          <w:lang w:val="en-GB"/>
        </w:rPr>
        <w:t xml:space="preserve"> and g</w:t>
      </w:r>
      <w:r w:rsidRPr="00E4462A">
        <w:rPr>
          <w:vertAlign w:val="subscript"/>
          <w:lang w:val="en-GB"/>
        </w:rPr>
        <w:t>5</w:t>
      </w:r>
      <w:r w:rsidRPr="00E4462A">
        <w:rPr>
          <w:lang w:val="en-GB"/>
        </w:rPr>
        <w:t>: aromatic (g</w:t>
      </w:r>
      <w:r w:rsidRPr="00E4462A">
        <w:rPr>
          <w:vertAlign w:val="subscript"/>
          <w:lang w:val="en-GB"/>
        </w:rPr>
        <w:t>4</w:t>
      </w:r>
      <w:r w:rsidRPr="00E4462A">
        <w:rPr>
          <w:lang w:val="en-GB"/>
        </w:rPr>
        <w:t>) and aliphatic (g</w:t>
      </w:r>
      <w:r w:rsidRPr="00E4462A">
        <w:rPr>
          <w:vertAlign w:val="subscript"/>
          <w:lang w:val="en-GB"/>
        </w:rPr>
        <w:t>5</w:t>
      </w:r>
      <w:r w:rsidRPr="00E4462A">
        <w:rPr>
          <w:lang w:val="en-GB"/>
        </w:rPr>
        <w:t xml:space="preserve">) methyl ethers </w:t>
      </w:r>
      <w:r w:rsidRPr="00E4462A">
        <w:rPr>
          <w:b/>
          <w:u w:val="single"/>
          <w:lang w:val="en-GB"/>
        </w:rPr>
        <w:t>H</w:t>
      </w:r>
      <w:r w:rsidRPr="00E4462A">
        <w:rPr>
          <w:b/>
          <w:u w:val="single"/>
          <w:vertAlign w:val="subscript"/>
          <w:lang w:val="en-GB"/>
        </w:rPr>
        <w:t>3</w:t>
      </w:r>
      <w:r w:rsidRPr="00E4462A">
        <w:rPr>
          <w:b/>
          <w:u w:val="single"/>
          <w:lang w:val="en-GB"/>
        </w:rPr>
        <w:t>C</w:t>
      </w:r>
      <w:r w:rsidRPr="00E4462A">
        <w:rPr>
          <w:lang w:val="en-GB"/>
        </w:rPr>
        <w:t>O-C-C; section f: C</w:t>
      </w:r>
      <w:r w:rsidRPr="00E4462A">
        <w:rPr>
          <w:vertAlign w:val="subscript"/>
          <w:lang w:val="en-GB"/>
        </w:rPr>
        <w:t>3</w:t>
      </w:r>
      <w:r w:rsidRPr="00E4462A">
        <w:rPr>
          <w:b/>
          <w:u w:val="single"/>
          <w:lang w:val="en-GB"/>
        </w:rPr>
        <w:t>CH</w:t>
      </w:r>
      <w:r w:rsidRPr="00E4462A">
        <w:rPr>
          <w:lang w:val="en-GB"/>
        </w:rPr>
        <w:t xml:space="preserve"> cross peaks; section h: oxomethylene (O</w:t>
      </w:r>
      <w:r w:rsidRPr="00E4462A">
        <w:rPr>
          <w:b/>
          <w:u w:val="single"/>
          <w:lang w:val="en-GB"/>
        </w:rPr>
        <w:t>CH</w:t>
      </w:r>
      <w:r w:rsidRPr="00E4462A">
        <w:rPr>
          <w:b/>
          <w:u w:val="single"/>
          <w:vertAlign w:val="subscript"/>
          <w:lang w:val="en-GB"/>
        </w:rPr>
        <w:t>2</w:t>
      </w:r>
      <w:r w:rsidRPr="00E4462A">
        <w:rPr>
          <w:lang w:val="en-GB"/>
        </w:rPr>
        <w:t xml:space="preserve">) cross </w:t>
      </w:r>
      <w:r w:rsidRPr="00E4462A">
        <w:rPr>
          <w:lang w:val="en-GB"/>
        </w:rPr>
        <w:lastRenderedPageBreak/>
        <w:t>peaks, likely from carbohydrates; section i: OC</w:t>
      </w:r>
      <w:r w:rsidRPr="00E4462A">
        <w:rPr>
          <w:vertAlign w:val="subscript"/>
          <w:lang w:val="en-GB"/>
        </w:rPr>
        <w:t>2</w:t>
      </w:r>
      <w:r w:rsidRPr="00E4462A">
        <w:rPr>
          <w:b/>
          <w:u w:val="single"/>
          <w:lang w:val="en-GB"/>
        </w:rPr>
        <w:t>CH</w:t>
      </w:r>
      <w:r w:rsidRPr="00E4462A">
        <w:rPr>
          <w:lang w:val="en-GB"/>
        </w:rPr>
        <w:t xml:space="preserve"> cross peaks; section j: methylene bound to esters –C-</w:t>
      </w:r>
      <w:r w:rsidRPr="00E4462A">
        <w:rPr>
          <w:b/>
          <w:u w:val="single"/>
          <w:lang w:val="en-GB"/>
        </w:rPr>
        <w:t>H</w:t>
      </w:r>
      <w:r w:rsidRPr="00E4462A">
        <w:rPr>
          <w:b/>
          <w:u w:val="single"/>
          <w:vertAlign w:val="subscript"/>
          <w:lang w:val="en-GB"/>
        </w:rPr>
        <w:t>2</w:t>
      </w:r>
      <w:r w:rsidRPr="00E4462A">
        <w:rPr>
          <w:b/>
          <w:u w:val="single"/>
          <w:lang w:val="en-GB"/>
        </w:rPr>
        <w:t>C</w:t>
      </w:r>
      <w:r w:rsidRPr="00E4462A">
        <w:rPr>
          <w:lang w:val="en-GB"/>
        </w:rPr>
        <w:t>O-C(=O)-Z- (cf. main text).</w:t>
      </w:r>
    </w:p>
    <w:p w14:paraId="24307064" w14:textId="77777777" w:rsidR="00043193" w:rsidRPr="00E4462A" w:rsidRDefault="00043193" w:rsidP="008B22B1">
      <w:pPr>
        <w:spacing w:line="360" w:lineRule="auto"/>
        <w:jc w:val="both"/>
        <w:rPr>
          <w:lang w:val="en-US"/>
        </w:rPr>
      </w:pPr>
    </w:p>
    <w:p w14:paraId="715473CF" w14:textId="626DE357" w:rsidR="00043193" w:rsidRPr="00E4462A" w:rsidRDefault="00043193" w:rsidP="008B22B1">
      <w:pPr>
        <w:tabs>
          <w:tab w:val="center" w:pos="4249"/>
        </w:tabs>
        <w:spacing w:line="360" w:lineRule="auto"/>
        <w:jc w:val="both"/>
        <w:rPr>
          <w:lang w:val="en-GB"/>
        </w:rPr>
      </w:pPr>
      <w:r w:rsidRPr="00E4462A">
        <w:rPr>
          <w:b/>
          <w:lang w:val="en-GB"/>
        </w:rPr>
        <w:t xml:space="preserve">Fig </w:t>
      </w:r>
      <w:r w:rsidR="00F56627" w:rsidRPr="00E4462A">
        <w:rPr>
          <w:b/>
          <w:lang w:val="en-GB"/>
        </w:rPr>
        <w:t>6</w:t>
      </w:r>
      <w:r w:rsidRPr="00E4462A">
        <w:rPr>
          <w:b/>
          <w:lang w:val="en-GB"/>
        </w:rPr>
        <w:t xml:space="preserve">. </w:t>
      </w:r>
      <w:r w:rsidRPr="00E4462A">
        <w:rPr>
          <w:lang w:val="en-GB"/>
        </w:rPr>
        <w:t xml:space="preserve">Left panel: negative electrospray 12T FTICR mass spectra of Wetlands SPE-DOM (insert in figure </w:t>
      </w:r>
      <w:r w:rsidR="00FE2C9E" w:rsidRPr="00E4462A">
        <w:rPr>
          <w:lang w:val="en-GB"/>
        </w:rPr>
        <w:t>7</w:t>
      </w:r>
      <w:r w:rsidRPr="00E4462A">
        <w:rPr>
          <w:lang w:val="en-GB"/>
        </w:rPr>
        <w:t xml:space="preserve">F show an enlarged mass view of a mass range of 6.0 Da. Right panel: expansion of the mass segment m/z = </w:t>
      </w:r>
      <w:r w:rsidR="00E6161A" w:rsidRPr="00E4462A">
        <w:rPr>
          <w:lang w:val="en-GB"/>
        </w:rPr>
        <w:t>4</w:t>
      </w:r>
      <w:r w:rsidRPr="00E4462A">
        <w:rPr>
          <w:lang w:val="en-GB"/>
        </w:rPr>
        <w:t>65</w:t>
      </w:r>
      <w:r w:rsidR="00ED77C0" w:rsidRPr="00E4462A">
        <w:rPr>
          <w:lang w:val="en-GB"/>
        </w:rPr>
        <w:t>.00</w:t>
      </w:r>
      <w:r w:rsidRPr="00E4462A">
        <w:rPr>
          <w:lang w:val="en-GB"/>
        </w:rPr>
        <w:t>-</w:t>
      </w:r>
      <w:r w:rsidR="00E6161A" w:rsidRPr="00E4462A">
        <w:rPr>
          <w:lang w:val="en-GB"/>
        </w:rPr>
        <w:t>4</w:t>
      </w:r>
      <w:r w:rsidRPr="00E4462A">
        <w:rPr>
          <w:lang w:val="en-GB"/>
        </w:rPr>
        <w:t>65.2</w:t>
      </w:r>
      <w:r w:rsidR="00ED77C0" w:rsidRPr="00E4462A">
        <w:rPr>
          <w:lang w:val="en-GB"/>
        </w:rPr>
        <w:t>0</w:t>
      </w:r>
      <w:r w:rsidRPr="00E4462A">
        <w:rPr>
          <w:lang w:val="en-GB"/>
        </w:rPr>
        <w:t xml:space="preserve"> (</w:t>
      </w:r>
      <w:r w:rsidRPr="00E4462A">
        <w:rPr>
          <w:rFonts w:ascii="Symbol" w:hAnsi="Symbol"/>
          <w:lang w:val="en-GB"/>
        </w:rPr>
        <w:t></w:t>
      </w:r>
      <w:r w:rsidRPr="00E4462A">
        <w:rPr>
          <w:lang w:val="en-GB"/>
        </w:rPr>
        <w:t xml:space="preserve">m = 0.2 Da; </w:t>
      </w:r>
      <w:r w:rsidR="00FE2C9E" w:rsidRPr="00E4462A">
        <w:rPr>
          <w:lang w:val="en-GB"/>
        </w:rPr>
        <w:t>asterisk</w:t>
      </w:r>
      <w:r w:rsidRPr="00E4462A">
        <w:rPr>
          <w:lang w:val="en-GB"/>
        </w:rPr>
        <w:t xml:space="preserve"> in insert figure </w:t>
      </w:r>
      <w:r w:rsidR="00FE2C9E" w:rsidRPr="00E4462A">
        <w:rPr>
          <w:lang w:val="en-GB"/>
        </w:rPr>
        <w:t>7</w:t>
      </w:r>
      <w:r w:rsidRPr="00E4462A">
        <w:rPr>
          <w:lang w:val="en-GB"/>
        </w:rPr>
        <w:t xml:space="preserve">F), with assignment according to CHO, CHNO, CHOS and CHNOS molecular series. (A) OKA-L; (B) OKA-S; (C) PAN-L; (D) PAN-S; (E) FCE-L; (F) FCE-S. </w:t>
      </w:r>
    </w:p>
    <w:p w14:paraId="4FEBB0FA" w14:textId="77777777" w:rsidR="00043193" w:rsidRPr="00E4462A" w:rsidRDefault="00043193" w:rsidP="008B22B1">
      <w:pPr>
        <w:tabs>
          <w:tab w:val="center" w:pos="4249"/>
        </w:tabs>
        <w:spacing w:line="360" w:lineRule="auto"/>
        <w:jc w:val="both"/>
        <w:rPr>
          <w:lang w:val="en-GB"/>
        </w:rPr>
      </w:pPr>
    </w:p>
    <w:p w14:paraId="071090A3" w14:textId="2CB76F0D" w:rsidR="00043193" w:rsidRPr="00E4462A" w:rsidRDefault="00043193" w:rsidP="00ED77C0">
      <w:pPr>
        <w:spacing w:after="200" w:line="360" w:lineRule="auto"/>
        <w:jc w:val="both"/>
        <w:rPr>
          <w:rFonts w:ascii="TimesNewRomanPSMT" w:hAnsi="TimesNewRomanPSMT"/>
          <w:lang w:val="en-GB"/>
        </w:rPr>
      </w:pPr>
      <w:r w:rsidRPr="00E4462A">
        <w:rPr>
          <w:b/>
          <w:lang w:val="en-GB"/>
        </w:rPr>
        <w:t xml:space="preserve">Fig. </w:t>
      </w:r>
      <w:r w:rsidR="00F56627" w:rsidRPr="00E4462A">
        <w:rPr>
          <w:b/>
          <w:lang w:val="en-GB"/>
        </w:rPr>
        <w:t>7</w:t>
      </w:r>
      <w:r w:rsidRPr="00E4462A">
        <w:rPr>
          <w:b/>
          <w:lang w:val="en-GB"/>
        </w:rPr>
        <w:t xml:space="preserve">. </w:t>
      </w:r>
      <w:r w:rsidRPr="00E4462A">
        <w:rPr>
          <w:lang w:val="en-GB"/>
        </w:rPr>
        <w:t>Van Krevelen diagrams</w:t>
      </w:r>
      <w:r w:rsidRPr="00E4462A">
        <w:rPr>
          <w:b/>
          <w:lang w:val="en-GB"/>
        </w:rPr>
        <w:t xml:space="preserve"> </w:t>
      </w:r>
      <w:r w:rsidRPr="00E4462A">
        <w:rPr>
          <w:lang w:val="en-GB"/>
        </w:rPr>
        <w:t>of six wetlands SPE-DOM</w:t>
      </w:r>
      <w:r w:rsidR="00FE2C9E" w:rsidRPr="00E4462A">
        <w:rPr>
          <w:lang w:val="en-GB"/>
        </w:rPr>
        <w:t>;</w:t>
      </w:r>
      <w:r w:rsidRPr="00E4462A">
        <w:rPr>
          <w:b/>
          <w:lang w:val="en-GB"/>
        </w:rPr>
        <w:t xml:space="preserve"> </w:t>
      </w:r>
      <w:r w:rsidRPr="00E4462A">
        <w:rPr>
          <w:lang w:val="en-GB"/>
        </w:rPr>
        <w:t>(A) OKA-L; (B) OKA-S; (C) PAN-L; (D) PAN-S; (E) FCE-L; (F) FCE-S, obtained from negative electrospray 12T FTICR mass spectra. Only molecular assignments bearing combinations of C,-H,-O,-N, and –S atoms are shown; color code</w:t>
      </w:r>
      <w:r w:rsidR="00DF34A4" w:rsidRPr="00E4462A">
        <w:rPr>
          <w:lang w:val="en-GB"/>
        </w:rPr>
        <w:t>d</w:t>
      </w:r>
      <w:r w:rsidRPr="00E4462A">
        <w:rPr>
          <w:lang w:val="en-GB"/>
        </w:rPr>
        <w:t xml:space="preserve"> according to molecular series as follows: CHO</w:t>
      </w:r>
      <w:r w:rsidR="00DF34A4" w:rsidRPr="00E4462A">
        <w:rPr>
          <w:lang w:val="en-GB"/>
        </w:rPr>
        <w:t>-</w:t>
      </w:r>
      <w:r w:rsidRPr="00E4462A">
        <w:rPr>
          <w:lang w:val="en-GB"/>
        </w:rPr>
        <w:t>blue</w:t>
      </w:r>
      <w:r w:rsidR="00DF34A4" w:rsidRPr="00E4462A">
        <w:rPr>
          <w:lang w:val="en-GB"/>
        </w:rPr>
        <w:t>,</w:t>
      </w:r>
      <w:r w:rsidRPr="00E4462A">
        <w:rPr>
          <w:lang w:val="en-GB"/>
        </w:rPr>
        <w:t xml:space="preserve"> </w:t>
      </w:r>
      <w:r w:rsidR="00DF34A4" w:rsidRPr="00E4462A">
        <w:rPr>
          <w:lang w:val="en-GB"/>
        </w:rPr>
        <w:t xml:space="preserve">CHOS-green, </w:t>
      </w:r>
      <w:r w:rsidRPr="00E4462A">
        <w:rPr>
          <w:lang w:val="en-GB"/>
        </w:rPr>
        <w:t>CHNO</w:t>
      </w:r>
      <w:r w:rsidR="00DF34A4" w:rsidRPr="00E4462A">
        <w:rPr>
          <w:lang w:val="en-GB"/>
        </w:rPr>
        <w:t>-</w:t>
      </w:r>
      <w:r w:rsidRPr="00E4462A">
        <w:rPr>
          <w:lang w:val="en-GB"/>
        </w:rPr>
        <w:t>orange</w:t>
      </w:r>
      <w:r w:rsidR="00DF34A4" w:rsidRPr="00E4462A">
        <w:rPr>
          <w:lang w:val="en-GB"/>
        </w:rPr>
        <w:t xml:space="preserve">, </w:t>
      </w:r>
      <w:r w:rsidRPr="00E4462A">
        <w:rPr>
          <w:lang w:val="en-GB"/>
        </w:rPr>
        <w:t>CHNOS</w:t>
      </w:r>
      <w:r w:rsidR="00DF34A4" w:rsidRPr="00E4462A">
        <w:rPr>
          <w:lang w:val="en-GB"/>
        </w:rPr>
        <w:t>-</w:t>
      </w:r>
      <w:r w:rsidRPr="00E4462A">
        <w:rPr>
          <w:lang w:val="en-GB"/>
        </w:rPr>
        <w:t>red. Bubble areas reflect the relative intensities of respective mass peaks. Panel F: labels for CHOS compounds correspond to key molecules, section a: saturated sulfolipids; section b: unsaturated sulfolipids; section c: common CH</w:t>
      </w:r>
      <w:r w:rsidR="00FE2C9E" w:rsidRPr="00E4462A">
        <w:rPr>
          <w:lang w:val="en-GB"/>
        </w:rPr>
        <w:t>OS</w:t>
      </w:r>
      <w:r w:rsidRPr="00E4462A">
        <w:rPr>
          <w:lang w:val="en-GB"/>
        </w:rPr>
        <w:t xml:space="preserve"> compounds in </w:t>
      </w:r>
      <w:r w:rsidR="00B23D57" w:rsidRPr="00E4462A">
        <w:rPr>
          <w:lang w:val="en-GB"/>
        </w:rPr>
        <w:t>DOM</w:t>
      </w:r>
      <w:r w:rsidRPr="00E4462A">
        <w:rPr>
          <w:lang w:val="en-GB"/>
        </w:rPr>
        <w:t xml:space="preserve">, possibly sulfonated carboxylic-rich alicyclic compounds (CRAM); d: aromatic black sulphur. </w:t>
      </w:r>
    </w:p>
    <w:p w14:paraId="2189714B" w14:textId="7A427A50" w:rsidR="00043193" w:rsidRPr="00E4462A" w:rsidRDefault="00043193" w:rsidP="008B22B1">
      <w:pPr>
        <w:spacing w:line="360" w:lineRule="auto"/>
        <w:jc w:val="both"/>
        <w:rPr>
          <w:lang w:val="en-GB"/>
        </w:rPr>
      </w:pPr>
      <w:r w:rsidRPr="00E4462A">
        <w:rPr>
          <w:b/>
          <w:lang w:val="en-GB"/>
        </w:rPr>
        <w:t xml:space="preserve">Fig. </w:t>
      </w:r>
      <w:r w:rsidR="00F56627" w:rsidRPr="00E4462A">
        <w:rPr>
          <w:b/>
          <w:lang w:val="en-GB"/>
        </w:rPr>
        <w:t>8</w:t>
      </w:r>
      <w:r w:rsidRPr="00E4462A">
        <w:rPr>
          <w:b/>
          <w:lang w:val="en-GB"/>
        </w:rPr>
        <w:t xml:space="preserve">. </w:t>
      </w:r>
      <w:r w:rsidRPr="00E4462A">
        <w:rPr>
          <w:lang w:val="en-GB"/>
        </w:rPr>
        <w:t>Comparative analysis of van Krevelen diagrams derived from negative electrospray 12T FT-ICR mass spectra of all six wetlands SPE-DOM. (A) Clustering diagram based on the similarity values between the spectra of six wetlands SPE-DOM using Pearson correlation coefficient; (B) molecular compositions common to all six wetlands SPE-DOM, (C) unique molecular compositions common in FCE samples (FCE-L and FCE-S); (D) unique molecular compositions with high abundance in both PAN samples; (E) unique molecular compositions with high abundance in both OKA samples; (F) unique molecular compositions common in all four PAN and OKA.</w:t>
      </w:r>
      <w:r w:rsidR="00E8778A" w:rsidRPr="00E4462A">
        <w:rPr>
          <w:lang w:val="en-GB"/>
        </w:rPr>
        <w:t xml:space="preserve"> The aromaticity index AI (Koch and Dittmar, 2006) provided denotes single aromatic compounds for AI &gt; 0.5 (bright blue triangle).</w:t>
      </w:r>
    </w:p>
    <w:p w14:paraId="30CC06F0" w14:textId="77777777" w:rsidR="00043193" w:rsidRPr="00E4462A" w:rsidRDefault="00043193" w:rsidP="008B22B1">
      <w:pPr>
        <w:spacing w:line="360" w:lineRule="auto"/>
        <w:jc w:val="both"/>
        <w:rPr>
          <w:lang w:val="en-US"/>
        </w:rPr>
      </w:pPr>
    </w:p>
    <w:p w14:paraId="1E3303F9" w14:textId="635B3796" w:rsidR="00043193" w:rsidRPr="00E4462A" w:rsidRDefault="00043193" w:rsidP="008B22B1">
      <w:pPr>
        <w:spacing w:line="360" w:lineRule="auto"/>
        <w:jc w:val="both"/>
        <w:rPr>
          <w:lang w:val="en-GB"/>
        </w:rPr>
      </w:pPr>
      <w:r w:rsidRPr="00E4462A">
        <w:rPr>
          <w:rFonts w:eastAsia="Calibri"/>
          <w:b/>
          <w:bCs/>
          <w:lang w:val="en-GB"/>
        </w:rPr>
        <w:t xml:space="preserve">Fig. </w:t>
      </w:r>
      <w:r w:rsidR="00F56627" w:rsidRPr="00E4462A">
        <w:rPr>
          <w:rFonts w:eastAsia="Calibri"/>
          <w:b/>
          <w:bCs/>
          <w:lang w:val="en-GB"/>
        </w:rPr>
        <w:t>9</w:t>
      </w:r>
      <w:r w:rsidRPr="00E4462A">
        <w:rPr>
          <w:rFonts w:eastAsia="Calibri"/>
          <w:b/>
          <w:bCs/>
          <w:lang w:val="en-GB"/>
        </w:rPr>
        <w:t>.</w:t>
      </w:r>
      <w:r w:rsidRPr="00E4462A">
        <w:rPr>
          <w:rFonts w:eastAsia="Calibri"/>
          <w:lang w:val="en-GB"/>
        </w:rPr>
        <w:t xml:space="preserve"> </w:t>
      </w:r>
      <w:r w:rsidRPr="00E4462A">
        <w:rPr>
          <w:lang w:val="en-GB"/>
        </w:rPr>
        <w:t xml:space="preserve">Comparative analysis of (left) H/C vs. m/z and (right) H/C vs. O/C van Krevelen diagrams derived from negative electrospray 12T FTICR mass spectra of the two Florida Coastal Everglades SPE-DOM FCE-S and FCE-L (see also Fig. 8). (A) Molecular compositions with high abundance in Florida Coastal Everglades SPE-DOM FCE-S; section a: oxygen-deficient </w:t>
      </w:r>
      <w:r w:rsidRPr="00E4462A">
        <w:rPr>
          <w:lang w:val="en-GB"/>
        </w:rPr>
        <w:lastRenderedPageBreak/>
        <w:t xml:space="preserve">(poly)aromatic black sulphur; CHNOS: suite of highly oxygenated CHNOS molecules; section b: common CHOS molecules in </w:t>
      </w:r>
      <w:r w:rsidR="00B23D57" w:rsidRPr="00E4462A">
        <w:rPr>
          <w:lang w:val="en-GB"/>
        </w:rPr>
        <w:t>DOM</w:t>
      </w:r>
      <w:r w:rsidRPr="00E4462A">
        <w:rPr>
          <w:lang w:val="en-GB"/>
        </w:rPr>
        <w:t>; section c: saturated sulfolipids. The aromaticity index AI (Koch and Dittmar, 2006) provided in the upper right van Krevelen diagram denotes single aromatic compounds for AI &gt; 0.5 (bright blue triangle) and polyaromatic compounds for AI &gt; 0.67 (bright purple triangle); (B) Molecular compositions with high abundance in Florida Coastal Everglades SPE-DOM FCE-L; section d: a distinct set of oxygen-rich aromatic CHOS compounds, likely associated with ether-linked aromatic units; cf. text.</w:t>
      </w:r>
    </w:p>
    <w:p w14:paraId="262C38AE" w14:textId="77777777" w:rsidR="00043193" w:rsidRPr="00E4462A" w:rsidRDefault="00043193" w:rsidP="008B22B1">
      <w:pPr>
        <w:spacing w:line="360" w:lineRule="auto"/>
        <w:jc w:val="both"/>
        <w:rPr>
          <w:b/>
          <w:lang w:val="en-GB"/>
        </w:rPr>
      </w:pPr>
    </w:p>
    <w:p w14:paraId="09874128" w14:textId="77777777" w:rsidR="00043193" w:rsidRPr="00E4462A" w:rsidRDefault="00043193" w:rsidP="008B22B1">
      <w:pPr>
        <w:spacing w:line="360" w:lineRule="auto"/>
        <w:jc w:val="both"/>
        <w:rPr>
          <w:lang w:val="en-US"/>
        </w:rPr>
      </w:pPr>
    </w:p>
    <w:p w14:paraId="24DB5C1F" w14:textId="77777777" w:rsidR="00043193" w:rsidRPr="00E4462A" w:rsidRDefault="00043193" w:rsidP="008B22B1">
      <w:pPr>
        <w:spacing w:after="200" w:line="276" w:lineRule="auto"/>
        <w:jc w:val="both"/>
        <w:rPr>
          <w:lang w:val="en-GB"/>
        </w:rPr>
      </w:pPr>
      <w:r w:rsidRPr="00E4462A">
        <w:rPr>
          <w:lang w:val="en-GB"/>
        </w:rPr>
        <w:br w:type="page"/>
      </w:r>
    </w:p>
    <w:p w14:paraId="0E69DAC5" w14:textId="77777777" w:rsidR="00B604A3" w:rsidRPr="00E4462A" w:rsidRDefault="002B00B4" w:rsidP="008B22B1">
      <w:pPr>
        <w:spacing w:line="360" w:lineRule="auto"/>
        <w:jc w:val="both"/>
        <w:rPr>
          <w:b/>
          <w:lang w:val="en-GB" w:eastAsia="zh-CN"/>
        </w:rPr>
      </w:pPr>
      <w:r w:rsidRPr="00E4462A">
        <w:rPr>
          <w:b/>
          <w:lang w:val="en-GB" w:eastAsia="zh-CN"/>
        </w:rPr>
        <w:lastRenderedPageBreak/>
        <w:t>Supporting Online Information</w:t>
      </w:r>
    </w:p>
    <w:p w14:paraId="0DFA7250" w14:textId="77777777" w:rsidR="00B604A3" w:rsidRPr="00E4462A" w:rsidRDefault="00B604A3" w:rsidP="008B22B1">
      <w:pPr>
        <w:spacing w:line="360" w:lineRule="auto"/>
        <w:jc w:val="both"/>
        <w:rPr>
          <w:b/>
          <w:lang w:val="en-GB" w:eastAsia="zh-CN"/>
        </w:rPr>
      </w:pPr>
    </w:p>
    <w:p w14:paraId="5C002A1F" w14:textId="77777777" w:rsidR="00043193" w:rsidRPr="00E4462A" w:rsidRDefault="00043193" w:rsidP="008B22B1">
      <w:pPr>
        <w:spacing w:line="360" w:lineRule="auto"/>
        <w:jc w:val="both"/>
        <w:rPr>
          <w:lang w:val="en-GB" w:eastAsia="zh-CN"/>
        </w:rPr>
      </w:pPr>
      <w:r w:rsidRPr="00E4462A">
        <w:rPr>
          <w:b/>
          <w:lang w:val="en-GB" w:eastAsia="zh-CN"/>
        </w:rPr>
        <w:t>Fig. S1</w:t>
      </w:r>
      <w:r w:rsidRPr="00E4462A">
        <w:rPr>
          <w:lang w:val="en-GB" w:eastAsia="zh-CN"/>
        </w:rPr>
        <w:t xml:space="preserve">. </w:t>
      </w:r>
      <w:r w:rsidRPr="00E4462A">
        <w:rPr>
          <w:vertAlign w:val="superscript"/>
          <w:lang w:val="en-GB" w:eastAsia="zh-CN"/>
        </w:rPr>
        <w:t>1</w:t>
      </w:r>
      <w:r w:rsidRPr="00E4462A">
        <w:rPr>
          <w:lang w:val="en-GB" w:eastAsia="zh-CN"/>
        </w:rPr>
        <w:t xml:space="preserve">H NMR spectra of six wetland SPE-DOM </w:t>
      </w:r>
      <w:r w:rsidRPr="00E4462A">
        <w:rPr>
          <w:lang w:val="en-GB"/>
        </w:rPr>
        <w:t>(CD</w:t>
      </w:r>
      <w:r w:rsidRPr="00E4462A">
        <w:rPr>
          <w:vertAlign w:val="subscript"/>
          <w:lang w:val="en-GB"/>
        </w:rPr>
        <w:t>3</w:t>
      </w:r>
      <w:r w:rsidRPr="00E4462A">
        <w:rPr>
          <w:lang w:val="en-GB"/>
        </w:rPr>
        <w:t xml:space="preserve">OD; </w:t>
      </w:r>
      <w:r w:rsidR="00C06EB5" w:rsidRPr="00E4462A">
        <w:rPr>
          <w:lang w:val="en-GB"/>
        </w:rPr>
        <w:t>5</w:t>
      </w:r>
      <w:r w:rsidRPr="00E4462A">
        <w:rPr>
          <w:lang w:val="en-GB"/>
        </w:rPr>
        <w:t xml:space="preserve">00 MHz), </w:t>
      </w:r>
      <w:r w:rsidRPr="00E4462A">
        <w:rPr>
          <w:lang w:val="en-GB" w:eastAsia="zh-CN"/>
        </w:rPr>
        <w:t>acquired with solvent suppression and exclusion regions used in the computation of NMR section integrals and overlay NMR spectra (Fig. 2 and this figure) which denote HD</w:t>
      </w:r>
      <w:r w:rsidRPr="00E4462A">
        <w:rPr>
          <w:vertAlign w:val="subscript"/>
          <w:lang w:val="en-GB" w:eastAsia="zh-CN"/>
        </w:rPr>
        <w:t>2</w:t>
      </w:r>
      <w:r w:rsidRPr="00E4462A">
        <w:rPr>
          <w:lang w:val="en-GB" w:eastAsia="zh-CN"/>
        </w:rPr>
        <w:t>COD and residual HDO, with section of unsaturated protons (</w:t>
      </w:r>
      <w:r w:rsidRPr="00E4462A">
        <w:rPr>
          <w:rFonts w:ascii="Symbol" w:hAnsi="Symbol"/>
          <w:lang w:val="en-GB" w:eastAsia="zh-CN"/>
        </w:rPr>
        <w:t></w:t>
      </w:r>
      <w:r w:rsidRPr="00E4462A">
        <w:rPr>
          <w:vertAlign w:val="subscript"/>
          <w:lang w:val="en-GB" w:eastAsia="zh-CN"/>
        </w:rPr>
        <w:t>H</w:t>
      </w:r>
      <w:r w:rsidRPr="00E4462A">
        <w:rPr>
          <w:lang w:val="en-GB" w:eastAsia="zh-CN"/>
        </w:rPr>
        <w:t xml:space="preserve"> &gt; 5 ppm) vertically expanded. Intensities are normalized to 100% total integral in the entire chemical shift range shown (</w:t>
      </w:r>
      <w:r w:rsidRPr="00E4462A">
        <w:rPr>
          <w:rFonts w:ascii="Symbol" w:hAnsi="Symbol"/>
          <w:lang w:val="en-GB" w:eastAsia="zh-CN"/>
        </w:rPr>
        <w:t></w:t>
      </w:r>
      <w:r w:rsidRPr="00E4462A">
        <w:rPr>
          <w:vertAlign w:val="subscript"/>
          <w:lang w:val="en-GB" w:eastAsia="zh-CN"/>
        </w:rPr>
        <w:t>H</w:t>
      </w:r>
      <w:r w:rsidRPr="00E4462A">
        <w:rPr>
          <w:lang w:val="en-GB" w:eastAsia="zh-CN"/>
        </w:rPr>
        <w:t xml:space="preserve"> = 0…10 ppm). Fundamental substructures are indicated from higher to lower field (from right to left), (a) aliphatics, </w:t>
      </w:r>
      <w:r w:rsidRPr="00E4462A">
        <w:rPr>
          <w:b/>
          <w:u w:val="single"/>
          <w:lang w:val="en-GB" w:eastAsia="zh-CN"/>
        </w:rPr>
        <w:t>H</w:t>
      </w:r>
      <w:r w:rsidRPr="00E4462A">
        <w:rPr>
          <w:lang w:val="en-GB" w:eastAsia="zh-CN"/>
        </w:rPr>
        <w:t xml:space="preserve">CCC; (b) “acetate-analogue”, </w:t>
      </w:r>
      <w:r w:rsidRPr="00E4462A">
        <w:rPr>
          <w:b/>
          <w:u w:val="single"/>
          <w:lang w:val="en-GB" w:eastAsia="zh-CN"/>
        </w:rPr>
        <w:t>H</w:t>
      </w:r>
      <w:r w:rsidRPr="00E4462A">
        <w:rPr>
          <w:b/>
          <w:u w:val="single"/>
          <w:vertAlign w:val="subscript"/>
          <w:lang w:val="en-GB" w:eastAsia="zh-CN"/>
        </w:rPr>
        <w:t>3</w:t>
      </w:r>
      <w:r w:rsidRPr="00E4462A">
        <w:rPr>
          <w:lang w:val="en-GB" w:eastAsia="zh-CN"/>
        </w:rPr>
        <w:t xml:space="preserve">CC(=O)-O-; (c) carboxyl-rich alicyclic materials (CRAM), </w:t>
      </w:r>
      <w:r w:rsidRPr="00E4462A">
        <w:rPr>
          <w:b/>
          <w:u w:val="single"/>
          <w:lang w:val="en-GB" w:eastAsia="zh-CN"/>
        </w:rPr>
        <w:t>H</w:t>
      </w:r>
      <w:r w:rsidRPr="00E4462A">
        <w:rPr>
          <w:lang w:val="en-GB" w:eastAsia="zh-CN"/>
        </w:rPr>
        <w:t xml:space="preserve">C(C)-COX; (d) “carbohydrate-like” and methoxy, </w:t>
      </w:r>
      <w:r w:rsidRPr="00E4462A">
        <w:rPr>
          <w:b/>
          <w:u w:val="single"/>
          <w:lang w:val="en-GB" w:eastAsia="zh-CN"/>
        </w:rPr>
        <w:t>H</w:t>
      </w:r>
      <w:r w:rsidRPr="00E4462A">
        <w:rPr>
          <w:lang w:val="en-GB" w:eastAsia="zh-CN"/>
        </w:rPr>
        <w:t xml:space="preserve">CO; (e) olefinic, </w:t>
      </w:r>
      <w:r w:rsidRPr="00E4462A">
        <w:rPr>
          <w:b/>
          <w:u w:val="single"/>
          <w:lang w:val="en-GB" w:eastAsia="zh-CN"/>
        </w:rPr>
        <w:t>H</w:t>
      </w:r>
      <w:r w:rsidRPr="00E4462A">
        <w:rPr>
          <w:lang w:val="en-GB" w:eastAsia="zh-CN"/>
        </w:rPr>
        <w:t xml:space="preserve">C=C; and (f) aromatic NMR resonances </w:t>
      </w:r>
      <w:r w:rsidRPr="00E4462A">
        <w:rPr>
          <w:b/>
          <w:u w:val="single"/>
          <w:lang w:val="en-GB" w:eastAsia="zh-CN"/>
        </w:rPr>
        <w:t>H</w:t>
      </w:r>
      <w:r w:rsidRPr="00E4462A">
        <w:rPr>
          <w:lang w:val="en-GB" w:eastAsia="zh-CN"/>
        </w:rPr>
        <w:t>C</w:t>
      </w:r>
      <w:r w:rsidRPr="00E4462A">
        <w:rPr>
          <w:vertAlign w:val="subscript"/>
          <w:lang w:val="en-GB" w:eastAsia="zh-CN"/>
        </w:rPr>
        <w:t>ar</w:t>
      </w:r>
      <w:r w:rsidRPr="00E4462A">
        <w:rPr>
          <w:lang w:val="en-GB" w:eastAsia="zh-CN"/>
        </w:rPr>
        <w:t xml:space="preserve"> (cf. text). </w:t>
      </w:r>
      <w:r w:rsidR="00BB567B" w:rsidRPr="00E4462A">
        <w:rPr>
          <w:lang w:val="en-GB" w:eastAsia="zh-CN"/>
        </w:rPr>
        <w:t xml:space="preserve">Further division of </w:t>
      </w:r>
      <w:r w:rsidR="00BB567B" w:rsidRPr="00E4462A">
        <w:rPr>
          <w:rFonts w:cs="Arial"/>
          <w:lang w:val="en-GB"/>
        </w:rPr>
        <w:t>unsaturated protons provided (f</w:t>
      </w:r>
      <w:r w:rsidR="00BB567B" w:rsidRPr="00E4462A">
        <w:rPr>
          <w:rFonts w:cs="Arial"/>
          <w:vertAlign w:val="subscript"/>
          <w:lang w:val="en-GB"/>
        </w:rPr>
        <w:t>1</w:t>
      </w:r>
      <w:r w:rsidR="00BB567B" w:rsidRPr="00E4462A">
        <w:rPr>
          <w:rFonts w:cs="Arial"/>
          <w:lang w:val="en-GB"/>
        </w:rPr>
        <w:t>) polycyclic and polycarboxylated aromatics as well as six-membered nitrogen heterocycles (</w:t>
      </w:r>
      <w:r w:rsidR="00BB567B" w:rsidRPr="00E4462A">
        <w:rPr>
          <w:rFonts w:ascii="Symbol" w:eastAsia="Calibri" w:hAnsi="Symbol" w:cs="Calibri"/>
          <w:lang w:val="en-US"/>
        </w:rPr>
        <w:t></w:t>
      </w:r>
      <w:r w:rsidR="00BB567B" w:rsidRPr="00E4462A">
        <w:rPr>
          <w:rFonts w:eastAsia="Arial Unicode MS"/>
          <w:vertAlign w:val="subscript"/>
          <w:lang w:val="en-US"/>
        </w:rPr>
        <w:t>H</w:t>
      </w:r>
      <w:r w:rsidR="00BB567B" w:rsidRPr="00E4462A">
        <w:rPr>
          <w:rFonts w:cs="Arial"/>
          <w:lang w:val="en-GB"/>
        </w:rPr>
        <w:t xml:space="preserve"> &gt; 8 ppm); (f</w:t>
      </w:r>
      <w:r w:rsidR="00BB567B" w:rsidRPr="00E4462A">
        <w:rPr>
          <w:rFonts w:cs="Arial"/>
          <w:vertAlign w:val="subscript"/>
          <w:lang w:val="en-GB"/>
        </w:rPr>
        <w:t>2</w:t>
      </w:r>
      <w:r w:rsidR="00BB567B" w:rsidRPr="00E4462A">
        <w:rPr>
          <w:rFonts w:cs="Arial"/>
          <w:lang w:val="en-GB"/>
        </w:rPr>
        <w:t xml:space="preserve">) electron withdrawing substituents (COX; Perdue et al., 2007; </w:t>
      </w:r>
      <w:r w:rsidR="00BB567B" w:rsidRPr="00E4462A">
        <w:rPr>
          <w:rFonts w:ascii="Symbol" w:eastAsia="Calibri" w:hAnsi="Symbol" w:cs="Calibri"/>
          <w:lang w:val="en-US"/>
        </w:rPr>
        <w:t></w:t>
      </w:r>
      <w:r w:rsidR="00BB567B" w:rsidRPr="00E4462A">
        <w:rPr>
          <w:rFonts w:eastAsia="Arial Unicode MS"/>
          <w:vertAlign w:val="subscript"/>
          <w:lang w:val="en-US"/>
        </w:rPr>
        <w:t>H</w:t>
      </w:r>
      <w:r w:rsidR="00BB567B" w:rsidRPr="00E4462A">
        <w:rPr>
          <w:rFonts w:cs="Arial"/>
          <w:lang w:val="en-GB"/>
        </w:rPr>
        <w:t xml:space="preserve"> </w:t>
      </w:r>
      <w:r w:rsidR="00BB567B" w:rsidRPr="00E4462A">
        <w:rPr>
          <w:rFonts w:eastAsia="Calibri"/>
          <w:lang w:val="en-US"/>
        </w:rPr>
        <w:t xml:space="preserve"> ≈</w:t>
      </w:r>
      <w:r w:rsidR="00BB567B" w:rsidRPr="00E4462A">
        <w:rPr>
          <w:rFonts w:cs="Arial"/>
          <w:lang w:val="en-GB"/>
        </w:rPr>
        <w:t xml:space="preserve"> 7.3 – 8.0 ppm); (f</w:t>
      </w:r>
      <w:r w:rsidR="00BB567B" w:rsidRPr="00E4462A">
        <w:rPr>
          <w:rFonts w:cs="Arial"/>
          <w:vertAlign w:val="subscript"/>
          <w:lang w:val="en-GB"/>
        </w:rPr>
        <w:t>3</w:t>
      </w:r>
      <w:r w:rsidR="00BB567B" w:rsidRPr="00E4462A">
        <w:rPr>
          <w:rFonts w:cs="Arial"/>
          <w:lang w:val="en-GB"/>
        </w:rPr>
        <w:t xml:space="preserve">) electroneutral substituents (alkyl, H, R; </w:t>
      </w:r>
      <w:r w:rsidR="00BB567B" w:rsidRPr="00E4462A">
        <w:rPr>
          <w:rFonts w:ascii="Symbol" w:eastAsia="Calibri" w:hAnsi="Symbol" w:cs="Calibri"/>
          <w:lang w:val="en-US"/>
        </w:rPr>
        <w:t></w:t>
      </w:r>
      <w:r w:rsidR="00BB567B" w:rsidRPr="00E4462A">
        <w:rPr>
          <w:rFonts w:eastAsia="Arial Unicode MS"/>
          <w:vertAlign w:val="subscript"/>
          <w:lang w:val="en-US"/>
        </w:rPr>
        <w:t>H</w:t>
      </w:r>
      <w:r w:rsidR="00BB567B" w:rsidRPr="00E4462A">
        <w:rPr>
          <w:rFonts w:cs="Arial"/>
          <w:lang w:val="en-GB"/>
        </w:rPr>
        <w:t xml:space="preserve"> </w:t>
      </w:r>
      <w:r w:rsidR="00BB567B" w:rsidRPr="00E4462A">
        <w:rPr>
          <w:rFonts w:eastAsia="Calibri"/>
          <w:lang w:val="en-US"/>
        </w:rPr>
        <w:t xml:space="preserve"> ≈</w:t>
      </w:r>
      <w:r w:rsidR="00BB567B" w:rsidRPr="00E4462A">
        <w:rPr>
          <w:rFonts w:cs="Arial"/>
          <w:lang w:val="en-GB"/>
        </w:rPr>
        <w:t xml:space="preserve"> 7.0 – 7.3 ppm); (f</w:t>
      </w:r>
      <w:r w:rsidR="00BB567B" w:rsidRPr="00E4462A">
        <w:rPr>
          <w:rFonts w:cs="Arial"/>
          <w:vertAlign w:val="subscript"/>
          <w:lang w:val="en-GB"/>
        </w:rPr>
        <w:t>4</w:t>
      </w:r>
      <w:r w:rsidR="00BB567B" w:rsidRPr="00E4462A">
        <w:rPr>
          <w:rFonts w:cs="Arial"/>
          <w:lang w:val="en-GB"/>
        </w:rPr>
        <w:t xml:space="preserve">) electron-donating substituents (OR, OH, phenolics; </w:t>
      </w:r>
      <w:r w:rsidR="00BB567B" w:rsidRPr="00E4462A">
        <w:rPr>
          <w:rFonts w:ascii="Symbol" w:eastAsia="Calibri" w:hAnsi="Symbol" w:cs="Calibri"/>
          <w:lang w:val="en-US"/>
        </w:rPr>
        <w:t></w:t>
      </w:r>
      <w:r w:rsidR="00BB567B" w:rsidRPr="00E4462A">
        <w:rPr>
          <w:rFonts w:eastAsia="Arial Unicode MS"/>
          <w:vertAlign w:val="subscript"/>
          <w:lang w:val="en-US"/>
        </w:rPr>
        <w:t>H</w:t>
      </w:r>
      <w:r w:rsidR="00BB567B" w:rsidRPr="00E4462A">
        <w:rPr>
          <w:rFonts w:cs="Arial"/>
          <w:lang w:val="en-GB"/>
        </w:rPr>
        <w:t xml:space="preserve"> </w:t>
      </w:r>
      <w:r w:rsidR="00BB567B" w:rsidRPr="00E4462A">
        <w:rPr>
          <w:rFonts w:eastAsia="Calibri"/>
          <w:lang w:val="en-US"/>
        </w:rPr>
        <w:t xml:space="preserve"> ≈</w:t>
      </w:r>
      <w:r w:rsidR="00BB567B" w:rsidRPr="00E4462A">
        <w:rPr>
          <w:rFonts w:cs="Arial"/>
          <w:lang w:val="en-GB"/>
        </w:rPr>
        <w:t xml:space="preserve"> 6.5 – 7.0 ppm); (e</w:t>
      </w:r>
      <w:r w:rsidR="00BB567B" w:rsidRPr="00E4462A">
        <w:rPr>
          <w:rFonts w:cs="Arial"/>
          <w:vertAlign w:val="subscript"/>
          <w:lang w:val="en-GB"/>
        </w:rPr>
        <w:t>1</w:t>
      </w:r>
      <w:r w:rsidR="00BB567B" w:rsidRPr="00E4462A">
        <w:rPr>
          <w:rFonts w:cs="Arial"/>
          <w:lang w:val="en-GB"/>
        </w:rPr>
        <w:t>) polarized and conjugated olefins; (</w:t>
      </w:r>
      <w:r w:rsidR="00BB567B" w:rsidRPr="00E4462A">
        <w:rPr>
          <w:rFonts w:ascii="Symbol" w:eastAsia="Calibri" w:hAnsi="Symbol" w:cs="Calibri"/>
          <w:lang w:val="en-US"/>
        </w:rPr>
        <w:t></w:t>
      </w:r>
      <w:r w:rsidR="00BB567B" w:rsidRPr="00E4462A">
        <w:rPr>
          <w:rFonts w:eastAsia="Arial Unicode MS"/>
          <w:vertAlign w:val="subscript"/>
          <w:lang w:val="en-US"/>
        </w:rPr>
        <w:t>H</w:t>
      </w:r>
      <w:r w:rsidR="00BB567B" w:rsidRPr="00E4462A">
        <w:rPr>
          <w:rFonts w:cs="Arial"/>
          <w:lang w:val="en-GB"/>
        </w:rPr>
        <w:t xml:space="preserve"> </w:t>
      </w:r>
      <w:r w:rsidR="00BB567B" w:rsidRPr="00E4462A">
        <w:rPr>
          <w:rFonts w:eastAsia="Calibri"/>
          <w:lang w:val="en-US"/>
        </w:rPr>
        <w:t xml:space="preserve"> ≈</w:t>
      </w:r>
      <w:r w:rsidR="00BB567B" w:rsidRPr="00E4462A">
        <w:rPr>
          <w:rFonts w:cs="Arial"/>
          <w:lang w:val="en-GB"/>
        </w:rPr>
        <w:t xml:space="preserve"> 5.5 – 6.5 ppm); (e</w:t>
      </w:r>
      <w:r w:rsidR="00BB567B" w:rsidRPr="00E4462A">
        <w:rPr>
          <w:rFonts w:cs="Arial"/>
          <w:vertAlign w:val="subscript"/>
          <w:lang w:val="en-GB"/>
        </w:rPr>
        <w:t>2</w:t>
      </w:r>
      <w:r w:rsidR="00BB567B" w:rsidRPr="00E4462A">
        <w:rPr>
          <w:rFonts w:cs="Arial"/>
          <w:lang w:val="en-GB"/>
        </w:rPr>
        <w:t>) isolated olefins (</w:t>
      </w:r>
      <w:r w:rsidR="00BB567B" w:rsidRPr="00E4462A">
        <w:rPr>
          <w:rFonts w:ascii="Symbol" w:eastAsia="Calibri" w:hAnsi="Symbol" w:cs="Calibri"/>
          <w:lang w:val="en-US"/>
        </w:rPr>
        <w:t></w:t>
      </w:r>
      <w:r w:rsidR="00BB567B" w:rsidRPr="00E4462A">
        <w:rPr>
          <w:rFonts w:eastAsia="Arial Unicode MS"/>
          <w:vertAlign w:val="subscript"/>
          <w:lang w:val="en-US"/>
        </w:rPr>
        <w:t>H</w:t>
      </w:r>
      <w:r w:rsidR="00BB567B" w:rsidRPr="00E4462A">
        <w:rPr>
          <w:rFonts w:cs="Arial"/>
          <w:lang w:val="en-GB"/>
        </w:rPr>
        <w:t xml:space="preserve"> </w:t>
      </w:r>
      <w:r w:rsidR="00BB567B" w:rsidRPr="00E4462A">
        <w:rPr>
          <w:rFonts w:eastAsia="Calibri"/>
          <w:lang w:val="en-US"/>
        </w:rPr>
        <w:t xml:space="preserve"> ≈</w:t>
      </w:r>
      <w:r w:rsidR="00BB567B" w:rsidRPr="00E4462A">
        <w:rPr>
          <w:rFonts w:cs="Arial"/>
          <w:lang w:val="en-GB"/>
        </w:rPr>
        <w:t xml:space="preserve"> 5.0 – 5.5 ppm), with conceivable contributions from anomeric protons and ester groups (cf. discussion of 2D NMR spectra).</w:t>
      </w:r>
    </w:p>
    <w:p w14:paraId="0D5CD6E9" w14:textId="77777777" w:rsidR="00043193" w:rsidRPr="00E4462A" w:rsidRDefault="00043193" w:rsidP="008B22B1">
      <w:pPr>
        <w:spacing w:line="360" w:lineRule="auto"/>
        <w:jc w:val="both"/>
        <w:outlineLvl w:val="0"/>
        <w:rPr>
          <w:b/>
          <w:lang w:val="en-GB"/>
        </w:rPr>
      </w:pPr>
    </w:p>
    <w:p w14:paraId="43BDC050" w14:textId="29642827" w:rsidR="0097430E" w:rsidRPr="00E4462A" w:rsidRDefault="0097430E" w:rsidP="0097430E">
      <w:pPr>
        <w:spacing w:line="360" w:lineRule="auto"/>
        <w:jc w:val="both"/>
        <w:outlineLvl w:val="0"/>
        <w:rPr>
          <w:lang w:val="en-GB"/>
        </w:rPr>
      </w:pPr>
      <w:r w:rsidRPr="00E4462A">
        <w:rPr>
          <w:b/>
          <w:lang w:val="en-GB"/>
        </w:rPr>
        <w:t>Fig. S2.</w:t>
      </w:r>
      <w:r w:rsidRPr="00E4462A">
        <w:rPr>
          <w:lang w:val="en-GB"/>
        </w:rPr>
        <w:t xml:space="preserve"> </w:t>
      </w:r>
      <w:r w:rsidRPr="00E4462A">
        <w:rPr>
          <w:vertAlign w:val="superscript"/>
          <w:lang w:val="en-GB"/>
        </w:rPr>
        <w:t>1</w:t>
      </w:r>
      <w:r w:rsidRPr="00E4462A">
        <w:rPr>
          <w:lang w:val="en-GB"/>
        </w:rPr>
        <w:t>H NMR spectra of wetland SPE-DOM (CD</w:t>
      </w:r>
      <w:r w:rsidRPr="00E4462A">
        <w:rPr>
          <w:vertAlign w:val="subscript"/>
          <w:lang w:val="en-GB"/>
        </w:rPr>
        <w:t>3</w:t>
      </w:r>
      <w:r w:rsidRPr="00E4462A">
        <w:rPr>
          <w:lang w:val="en-GB"/>
        </w:rPr>
        <w:t xml:space="preserve">OD; 500 MHz). Ssimilarity assessment by means of (panel A) cluster analysis (Pearson) and (panel B) PCA as well as (panels C, D) computed difference </w:t>
      </w:r>
      <w:r w:rsidRPr="00E4462A">
        <w:rPr>
          <w:vertAlign w:val="superscript"/>
          <w:lang w:val="en-GB"/>
        </w:rPr>
        <w:t>1</w:t>
      </w:r>
      <w:r w:rsidRPr="00E4462A">
        <w:rPr>
          <w:lang w:val="en-GB"/>
        </w:rPr>
        <w:t xml:space="preserve">H NMR spectra of 3 wetland SPE-DOM pairs (L-S: long minus short hydroperiod) as derived from 0.001 ppm buckets in area-normalized </w:t>
      </w:r>
      <w:r w:rsidRPr="00E4462A">
        <w:rPr>
          <w:vertAlign w:val="superscript"/>
          <w:lang w:val="en-GB"/>
        </w:rPr>
        <w:t>1</w:t>
      </w:r>
      <w:r w:rsidRPr="00E4462A">
        <w:rPr>
          <w:lang w:val="en-GB"/>
        </w:rPr>
        <w:t>H NMR spectra; used chemical shift range :</w:t>
      </w:r>
      <w:r w:rsidRPr="00E4462A">
        <w:rPr>
          <w:rFonts w:ascii="Symbol" w:hAnsi="Symbol"/>
          <w:lang w:val="en-GB"/>
        </w:rPr>
        <w:t></w:t>
      </w:r>
      <w:r w:rsidRPr="00E4462A">
        <w:rPr>
          <w:vertAlign w:val="subscript"/>
          <w:lang w:val="en-GB"/>
        </w:rPr>
        <w:t>H</w:t>
      </w:r>
      <w:r w:rsidRPr="00E4462A">
        <w:rPr>
          <w:lang w:val="en-GB"/>
        </w:rPr>
        <w:t xml:space="preserve"> = 9.5 – 0.5 ppm, with exclusion of residual water and methanol NMR resonances. Panels E, F, G: Manual overlay according to identical </w:t>
      </w:r>
      <w:r w:rsidRPr="00E4462A">
        <w:rPr>
          <w:vertAlign w:val="superscript"/>
          <w:lang w:val="en-GB"/>
        </w:rPr>
        <w:t>1</w:t>
      </w:r>
      <w:r w:rsidRPr="00E4462A">
        <w:rPr>
          <w:lang w:val="en-GB"/>
        </w:rPr>
        <w:t xml:space="preserve">H NMR section integral in the respective regions of </w:t>
      </w:r>
      <w:r w:rsidRPr="00E4462A">
        <w:rPr>
          <w:vertAlign w:val="superscript"/>
          <w:lang w:val="en-GB"/>
        </w:rPr>
        <w:t>1</w:t>
      </w:r>
      <w:r w:rsidRPr="00E4462A">
        <w:rPr>
          <w:lang w:val="en-GB"/>
        </w:rPr>
        <w:t>H NMR chemical shift shown: (left column) entire NMR spectrum (</w:t>
      </w:r>
      <w:r w:rsidRPr="00E4462A">
        <w:rPr>
          <w:rFonts w:ascii="Symbol" w:hAnsi="Symbol"/>
          <w:lang w:val="en-GB"/>
        </w:rPr>
        <w:t></w:t>
      </w:r>
      <w:r w:rsidRPr="00E4462A">
        <w:rPr>
          <w:vertAlign w:val="subscript"/>
          <w:lang w:val="en-GB"/>
        </w:rPr>
        <w:t>H</w:t>
      </w:r>
      <w:r w:rsidRPr="00E4462A">
        <w:rPr>
          <w:lang w:val="en-GB"/>
        </w:rPr>
        <w:t xml:space="preserve"> = 0 - 10 ppm); (center column) section of unsaturated protons (</w:t>
      </w:r>
      <w:r w:rsidRPr="00E4462A">
        <w:rPr>
          <w:rFonts w:ascii="Symbol" w:hAnsi="Symbol"/>
          <w:lang w:val="en-GB"/>
        </w:rPr>
        <w:t></w:t>
      </w:r>
      <w:r w:rsidRPr="00E4462A">
        <w:rPr>
          <w:vertAlign w:val="subscript"/>
          <w:lang w:val="en-GB"/>
        </w:rPr>
        <w:t>H</w:t>
      </w:r>
      <w:r w:rsidRPr="00E4462A">
        <w:rPr>
          <w:lang w:val="en-GB"/>
        </w:rPr>
        <w:t xml:space="preserve"> = 5 - 10 ppm); (right column) section of aliphatic protons (</w:t>
      </w:r>
      <w:r w:rsidRPr="00E4462A">
        <w:rPr>
          <w:rFonts w:ascii="Symbol" w:hAnsi="Symbol"/>
          <w:lang w:val="en-GB"/>
        </w:rPr>
        <w:t></w:t>
      </w:r>
      <w:r w:rsidRPr="00E4462A">
        <w:rPr>
          <w:vertAlign w:val="subscript"/>
          <w:lang w:val="en-GB"/>
        </w:rPr>
        <w:t>H</w:t>
      </w:r>
      <w:r w:rsidRPr="00E4462A">
        <w:rPr>
          <w:lang w:val="en-GB"/>
        </w:rPr>
        <w:t xml:space="preserve"> = 0 - 5 ppm). Panel E: OKA; panel F: PAN, and panel G: FCE SPE-DOM. Sections f</w:t>
      </w:r>
      <w:r w:rsidRPr="00E4462A">
        <w:rPr>
          <w:vertAlign w:val="subscript"/>
          <w:lang w:val="en-GB"/>
        </w:rPr>
        <w:t>n</w:t>
      </w:r>
      <w:r w:rsidRPr="00E4462A">
        <w:rPr>
          <w:b/>
          <w:lang w:val="en-GB"/>
        </w:rPr>
        <w:t xml:space="preserve"> </w:t>
      </w:r>
      <w:r w:rsidRPr="00E4462A">
        <w:rPr>
          <w:lang w:val="en-GB"/>
        </w:rPr>
        <w:t xml:space="preserve">of unsaturated protons are denoted as provided in Fig. S1. </w:t>
      </w:r>
    </w:p>
    <w:p w14:paraId="3CA8BA79" w14:textId="77777777" w:rsidR="00043193" w:rsidRPr="00E4462A" w:rsidRDefault="00043193" w:rsidP="008B22B1">
      <w:pPr>
        <w:spacing w:line="360" w:lineRule="auto"/>
        <w:jc w:val="both"/>
        <w:rPr>
          <w:lang w:val="en-GB"/>
        </w:rPr>
      </w:pPr>
    </w:p>
    <w:p w14:paraId="30067C1D" w14:textId="77777777" w:rsidR="00043193" w:rsidRPr="00E4462A" w:rsidRDefault="00043193" w:rsidP="008B22B1">
      <w:pPr>
        <w:spacing w:line="360" w:lineRule="auto"/>
        <w:jc w:val="both"/>
        <w:rPr>
          <w:b/>
          <w:lang w:val="en-GB"/>
        </w:rPr>
      </w:pPr>
      <w:r w:rsidRPr="00E4462A">
        <w:rPr>
          <w:b/>
          <w:lang w:val="en-GB"/>
        </w:rPr>
        <w:lastRenderedPageBreak/>
        <w:t>Fig. S3.</w:t>
      </w:r>
      <w:r w:rsidRPr="00E4462A">
        <w:rPr>
          <w:lang w:val="en-GB"/>
        </w:rPr>
        <w:t xml:space="preserve"> </w:t>
      </w:r>
      <w:r w:rsidRPr="00E4462A">
        <w:rPr>
          <w:vertAlign w:val="superscript"/>
          <w:lang w:val="en-GB"/>
        </w:rPr>
        <w:t>13</w:t>
      </w:r>
      <w:r w:rsidRPr="00E4462A">
        <w:rPr>
          <w:lang w:val="en-GB"/>
        </w:rPr>
        <w:t>C NMR spectra of selected wetland SPE-DOM; full spectra computed with 35 Hz exponential line broadening; insert: section of methoxy peaks (</w:t>
      </w:r>
      <w:r w:rsidRPr="00E4462A">
        <w:rPr>
          <w:rFonts w:ascii="Symbol" w:hAnsi="Symbol"/>
          <w:lang w:val="en-GB"/>
        </w:rPr>
        <w:t></w:t>
      </w:r>
      <w:r w:rsidRPr="00E4462A">
        <w:rPr>
          <w:vertAlign w:val="subscript"/>
          <w:lang w:val="en-GB"/>
        </w:rPr>
        <w:t>C</w:t>
      </w:r>
      <w:r w:rsidRPr="00E4462A">
        <w:rPr>
          <w:lang w:val="en-GB"/>
        </w:rPr>
        <w:t xml:space="preserve"> = 51-59 ppm; computed with 2 Hz line broadening); OKA-L and PAN-S: in </w:t>
      </w:r>
      <w:r w:rsidRPr="00E4462A">
        <w:rPr>
          <w:vertAlign w:val="superscript"/>
          <w:lang w:val="en-GB"/>
        </w:rPr>
        <w:t>12</w:t>
      </w:r>
      <w:r w:rsidRPr="00E4462A">
        <w:rPr>
          <w:lang w:val="en-GB"/>
        </w:rPr>
        <w:t>CD</w:t>
      </w:r>
      <w:r w:rsidRPr="00E4462A">
        <w:rPr>
          <w:vertAlign w:val="subscript"/>
          <w:lang w:val="en-GB"/>
        </w:rPr>
        <w:t>3</w:t>
      </w:r>
      <w:r w:rsidRPr="00E4462A">
        <w:rPr>
          <w:lang w:val="en-GB"/>
        </w:rPr>
        <w:t>OD at B</w:t>
      </w:r>
      <w:r w:rsidRPr="00E4462A">
        <w:rPr>
          <w:vertAlign w:val="subscript"/>
          <w:lang w:val="en-GB"/>
        </w:rPr>
        <w:t>0</w:t>
      </w:r>
      <w:r w:rsidRPr="00E4462A">
        <w:rPr>
          <w:lang w:val="en-GB"/>
        </w:rPr>
        <w:t xml:space="preserve"> = 11.7 T; FCE in CD</w:t>
      </w:r>
      <w:r w:rsidRPr="00E4462A">
        <w:rPr>
          <w:vertAlign w:val="subscript"/>
          <w:lang w:val="en-GB"/>
        </w:rPr>
        <w:t>3</w:t>
      </w:r>
      <w:r w:rsidRPr="00E4462A">
        <w:rPr>
          <w:lang w:val="en-GB"/>
        </w:rPr>
        <w:t>OD at B</w:t>
      </w:r>
      <w:r w:rsidRPr="00E4462A">
        <w:rPr>
          <w:vertAlign w:val="subscript"/>
          <w:lang w:val="en-GB"/>
        </w:rPr>
        <w:t>0</w:t>
      </w:r>
      <w:r w:rsidRPr="00E4462A">
        <w:rPr>
          <w:lang w:val="en-GB"/>
        </w:rPr>
        <w:t xml:space="preserve"> = 18.8 T</w:t>
      </w:r>
      <w:r w:rsidR="00BB567B" w:rsidRPr="00E4462A">
        <w:rPr>
          <w:lang w:val="en-GB"/>
        </w:rPr>
        <w:t>.</w:t>
      </w:r>
      <w:r w:rsidRPr="00E4462A">
        <w:rPr>
          <w:b/>
          <w:lang w:val="en-GB"/>
        </w:rPr>
        <w:t xml:space="preserve"> </w:t>
      </w:r>
    </w:p>
    <w:p w14:paraId="03D43B4E" w14:textId="77777777" w:rsidR="00043193" w:rsidRPr="00E4462A" w:rsidRDefault="00043193" w:rsidP="008B22B1">
      <w:pPr>
        <w:spacing w:line="360" w:lineRule="auto"/>
        <w:jc w:val="both"/>
        <w:rPr>
          <w:b/>
          <w:lang w:val="en-GB"/>
        </w:rPr>
      </w:pPr>
    </w:p>
    <w:p w14:paraId="7FF3DFD8" w14:textId="77777777" w:rsidR="00043193" w:rsidRPr="00E4462A" w:rsidRDefault="00043193" w:rsidP="008B22B1">
      <w:pPr>
        <w:spacing w:line="360" w:lineRule="auto"/>
        <w:jc w:val="both"/>
        <w:rPr>
          <w:lang w:val="en-GB"/>
        </w:rPr>
      </w:pPr>
      <w:r w:rsidRPr="00E4462A">
        <w:rPr>
          <w:b/>
          <w:lang w:val="en-GB"/>
        </w:rPr>
        <w:t>Fig</w:t>
      </w:r>
      <w:r w:rsidRPr="00E4462A">
        <w:rPr>
          <w:rFonts w:hint="eastAsia"/>
          <w:b/>
          <w:lang w:val="en-GB" w:eastAsia="zh-CN"/>
        </w:rPr>
        <w:t>.</w:t>
      </w:r>
      <w:r w:rsidRPr="00E4462A">
        <w:rPr>
          <w:b/>
          <w:lang w:val="en-GB"/>
        </w:rPr>
        <w:t xml:space="preserve"> S4. </w:t>
      </w:r>
      <w:r w:rsidRPr="00E4462A">
        <w:rPr>
          <w:vertAlign w:val="superscript"/>
          <w:lang w:val="en-GB"/>
        </w:rPr>
        <w:t>1</w:t>
      </w:r>
      <w:r w:rsidRPr="00E4462A">
        <w:rPr>
          <w:lang w:val="en-GB"/>
        </w:rPr>
        <w:t xml:space="preserve">H, </w:t>
      </w:r>
      <w:r w:rsidRPr="00E4462A">
        <w:rPr>
          <w:vertAlign w:val="superscript"/>
          <w:lang w:val="en-GB"/>
        </w:rPr>
        <w:t>13</w:t>
      </w:r>
      <w:r w:rsidRPr="00E4462A">
        <w:rPr>
          <w:lang w:val="en-GB"/>
        </w:rPr>
        <w:t>C HSQC NMR spectrum of SPE-DOM FCE-S, with regions shown in figures: (A) chemical environments of sp</w:t>
      </w:r>
      <w:r w:rsidRPr="00E4462A">
        <w:rPr>
          <w:vertAlign w:val="superscript"/>
          <w:lang w:val="en-GB"/>
        </w:rPr>
        <w:t>3</w:t>
      </w:r>
      <w:r w:rsidRPr="00E4462A">
        <w:rPr>
          <w:lang w:val="en-GB"/>
        </w:rPr>
        <w:t>-hybridized carbon (aliphatic CH</w:t>
      </w:r>
      <w:r w:rsidR="00C06EB5" w:rsidRPr="00E4462A">
        <w:rPr>
          <w:vertAlign w:val="subscript"/>
          <w:lang w:val="en-GB"/>
        </w:rPr>
        <w:t>n</w:t>
      </w:r>
      <w:r w:rsidRPr="00E4462A">
        <w:rPr>
          <w:lang w:val="en-GB"/>
        </w:rPr>
        <w:t xml:space="preserve"> units; Fig. </w:t>
      </w:r>
      <w:r w:rsidR="00C06EB5" w:rsidRPr="00E4462A">
        <w:rPr>
          <w:lang w:val="en-GB"/>
        </w:rPr>
        <w:t>6</w:t>
      </w:r>
      <w:r w:rsidRPr="00E4462A">
        <w:rPr>
          <w:lang w:val="en-GB"/>
        </w:rPr>
        <w:t>); (B) chemical environments of sp</w:t>
      </w:r>
      <w:r w:rsidRPr="00E4462A">
        <w:rPr>
          <w:vertAlign w:val="superscript"/>
          <w:lang w:val="en-GB"/>
        </w:rPr>
        <w:t>2</w:t>
      </w:r>
      <w:r w:rsidRPr="00E4462A">
        <w:rPr>
          <w:lang w:val="en-GB"/>
        </w:rPr>
        <w:t xml:space="preserve">-hybridized carbon (unsaturated, i. e. olefinic and aromatic CH units; Fig. </w:t>
      </w:r>
      <w:r w:rsidR="00C06EB5" w:rsidRPr="00E4462A">
        <w:rPr>
          <w:lang w:val="en-GB"/>
        </w:rPr>
        <w:t>5</w:t>
      </w:r>
      <w:r w:rsidRPr="00E4462A">
        <w:rPr>
          <w:lang w:val="en-GB"/>
        </w:rPr>
        <w:t>). Sensitivity enhanced apodization is used to emphasize less abundant sp</w:t>
      </w:r>
      <w:r w:rsidRPr="00E4462A">
        <w:rPr>
          <w:vertAlign w:val="superscript"/>
          <w:lang w:val="en-GB"/>
        </w:rPr>
        <w:t>2</w:t>
      </w:r>
      <w:r w:rsidRPr="00E4462A">
        <w:rPr>
          <w:lang w:val="en-GB"/>
        </w:rPr>
        <w:t>-hybridized carbon (overall HSQC cross peak integral &lt;4% of aliphatic units) environments at the cost of resolution in case of aliphatic CH</w:t>
      </w:r>
      <w:r w:rsidRPr="00E4462A">
        <w:rPr>
          <w:vertAlign w:val="subscript"/>
          <w:lang w:val="en-GB"/>
        </w:rPr>
        <w:t>n</w:t>
      </w:r>
      <w:r w:rsidRPr="00E4462A">
        <w:rPr>
          <w:lang w:val="en-GB"/>
        </w:rPr>
        <w:t xml:space="preserve"> units (n = 1 – 3). </w:t>
      </w:r>
    </w:p>
    <w:p w14:paraId="249F0822" w14:textId="77777777" w:rsidR="00E30E26" w:rsidRPr="00E4462A" w:rsidRDefault="00E30E26" w:rsidP="008B22B1">
      <w:pPr>
        <w:spacing w:line="360" w:lineRule="auto"/>
        <w:jc w:val="both"/>
        <w:rPr>
          <w:lang w:val="en-GB"/>
        </w:rPr>
      </w:pPr>
    </w:p>
    <w:p w14:paraId="49DF70BB" w14:textId="77777777" w:rsidR="00043193" w:rsidRPr="00E4462A" w:rsidRDefault="00043193" w:rsidP="008B22B1">
      <w:pPr>
        <w:spacing w:line="360" w:lineRule="auto"/>
        <w:jc w:val="both"/>
        <w:rPr>
          <w:lang w:val="en-GB"/>
        </w:rPr>
      </w:pPr>
      <w:r w:rsidRPr="00E4462A">
        <w:rPr>
          <w:b/>
          <w:lang w:val="en-GB"/>
        </w:rPr>
        <w:t xml:space="preserve">Fig. S5. </w:t>
      </w:r>
      <w:r w:rsidRPr="00E4462A">
        <w:rPr>
          <w:lang w:val="en-GB"/>
        </w:rPr>
        <w:t xml:space="preserve">Overlay of </w:t>
      </w:r>
      <w:r w:rsidRPr="00E4462A">
        <w:rPr>
          <w:vertAlign w:val="superscript"/>
          <w:lang w:val="en-GB"/>
        </w:rPr>
        <w:t>1</w:t>
      </w:r>
      <w:r w:rsidRPr="00E4462A">
        <w:rPr>
          <w:lang w:val="en-GB"/>
        </w:rPr>
        <w:t xml:space="preserve">H, </w:t>
      </w:r>
      <w:r w:rsidRPr="00E4462A">
        <w:rPr>
          <w:vertAlign w:val="superscript"/>
          <w:lang w:val="en-GB"/>
        </w:rPr>
        <w:t>13</w:t>
      </w:r>
      <w:r w:rsidRPr="00E4462A">
        <w:rPr>
          <w:lang w:val="en-GB"/>
        </w:rPr>
        <w:t xml:space="preserve">C HSQC NMR spectra of SPE-DOM FCE-S (dark blue) and South Atlantic SPE-DOM at fluorescence maximum (48 mg, FMAX; orange: Hertkorn et al., 2013), together with region of HSQC NMR cross peaks accessible for single aromatic rings with full range of electron-withdrawing (COX), electroneutral (R, H) and electron donating substitution (OH, OR), shown in green color (SPARIA: Perdue et al., 2007). </w:t>
      </w:r>
      <w:r w:rsidR="00C06EB5" w:rsidRPr="00E4462A">
        <w:rPr>
          <w:lang w:val="en-GB"/>
        </w:rPr>
        <w:t xml:space="preserve">Wetland </w:t>
      </w:r>
      <w:r w:rsidRPr="00E4462A">
        <w:rPr>
          <w:lang w:val="en-GB"/>
        </w:rPr>
        <w:t>SPE-DOM shows more exhaustive coverage of single aromatic rings from contributions of multiply oxygenated aromatics (</w:t>
      </w:r>
      <w:r w:rsidRPr="00E4462A">
        <w:rPr>
          <w:rFonts w:ascii="Symbol" w:hAnsi="Symbol"/>
          <w:lang w:val="en-GB"/>
        </w:rPr>
        <w:t></w:t>
      </w:r>
      <w:r w:rsidRPr="00E4462A">
        <w:rPr>
          <w:vertAlign w:val="subscript"/>
          <w:lang w:val="en-GB"/>
        </w:rPr>
        <w:t>H</w:t>
      </w:r>
      <w:r w:rsidRPr="00E4462A">
        <w:rPr>
          <w:lang w:val="en-GB"/>
        </w:rPr>
        <w:t xml:space="preserve"> &lt; 7 ppm; </w:t>
      </w:r>
      <w:r w:rsidRPr="00E4462A">
        <w:rPr>
          <w:rFonts w:ascii="Symbol" w:hAnsi="Symbol"/>
          <w:lang w:val="en-GB"/>
        </w:rPr>
        <w:t></w:t>
      </w:r>
      <w:r w:rsidRPr="00E4462A">
        <w:rPr>
          <w:vertAlign w:val="subscript"/>
          <w:lang w:val="en-GB"/>
        </w:rPr>
        <w:t>C</w:t>
      </w:r>
      <w:r w:rsidRPr="00E4462A">
        <w:rPr>
          <w:lang w:val="en-GB"/>
        </w:rPr>
        <w:t xml:space="preserve"> &lt; 120 ppm), likely originating from plant phenolics but also from polycarboxylated aromatics and PAH derivatives (</w:t>
      </w:r>
      <w:r w:rsidRPr="00E4462A">
        <w:rPr>
          <w:rFonts w:ascii="Symbol" w:hAnsi="Symbol"/>
          <w:lang w:val="en-GB"/>
        </w:rPr>
        <w:t></w:t>
      </w:r>
      <w:r w:rsidRPr="00E4462A">
        <w:rPr>
          <w:vertAlign w:val="subscript"/>
          <w:lang w:val="en-GB"/>
        </w:rPr>
        <w:t>H</w:t>
      </w:r>
      <w:r w:rsidRPr="00E4462A">
        <w:rPr>
          <w:lang w:val="en-GB"/>
        </w:rPr>
        <w:t xml:space="preserve"> &gt; 8.5 ppm). In contrast, open ocean SPE-DOM FMAX exhibits a larger abundance as well as overall chemical diversity of </w:t>
      </w:r>
      <w:r w:rsidRPr="00E4462A">
        <w:rPr>
          <w:rFonts w:ascii="Symbol" w:hAnsi="Symbol"/>
          <w:lang w:val="en-GB"/>
        </w:rPr>
        <w:t></w:t>
      </w:r>
      <w:r w:rsidRPr="00E4462A">
        <w:rPr>
          <w:lang w:val="en-GB"/>
        </w:rPr>
        <w:t>,</w:t>
      </w:r>
      <w:r w:rsidRPr="00E4462A">
        <w:rPr>
          <w:rFonts w:ascii="Symbol" w:hAnsi="Symbol"/>
          <w:lang w:val="en-GB"/>
        </w:rPr>
        <w:t></w:t>
      </w:r>
      <w:r w:rsidRPr="00E4462A">
        <w:rPr>
          <w:lang w:val="en-GB"/>
        </w:rPr>
        <w:t xml:space="preserve"> unsaturated and C-conjugated olefins, likely originating from marine natural products; for assignment of HSQC cross peaks, see Figs. 4 and 5, and Hertkorn et al., 2013.</w:t>
      </w:r>
    </w:p>
    <w:p w14:paraId="1BF49B2A" w14:textId="77777777" w:rsidR="00043193" w:rsidRPr="00E4462A" w:rsidRDefault="00043193" w:rsidP="008B22B1">
      <w:pPr>
        <w:spacing w:line="360" w:lineRule="auto"/>
        <w:jc w:val="both"/>
        <w:rPr>
          <w:lang w:val="en-US"/>
        </w:rPr>
      </w:pPr>
    </w:p>
    <w:p w14:paraId="11F15CF2" w14:textId="7A147DA9" w:rsidR="00043193" w:rsidRPr="00E4462A" w:rsidRDefault="00043193" w:rsidP="008B22B1">
      <w:pPr>
        <w:spacing w:line="360" w:lineRule="auto"/>
        <w:jc w:val="both"/>
        <w:rPr>
          <w:lang w:val="en-US"/>
        </w:rPr>
      </w:pPr>
      <w:r w:rsidRPr="00E4462A">
        <w:rPr>
          <w:b/>
          <w:lang w:val="en-US"/>
        </w:rPr>
        <w:t>Fig. S6.</w:t>
      </w:r>
      <w:r w:rsidRPr="00E4462A">
        <w:rPr>
          <w:lang w:val="en-US"/>
        </w:rPr>
        <w:t xml:space="preserve"> Further evaluation of aliphatic spin systems of wetland SPE-DOM FCE-L. Panel A: overall </w:t>
      </w:r>
      <w:r w:rsidRPr="00E4462A">
        <w:rPr>
          <w:vertAlign w:val="superscript"/>
          <w:lang w:val="en-US"/>
        </w:rPr>
        <w:t>1</w:t>
      </w:r>
      <w:r w:rsidRPr="00E4462A">
        <w:rPr>
          <w:lang w:val="en-US"/>
        </w:rPr>
        <w:t xml:space="preserve">H, </w:t>
      </w:r>
      <w:r w:rsidRPr="00E4462A">
        <w:rPr>
          <w:vertAlign w:val="superscript"/>
          <w:lang w:val="en-US"/>
        </w:rPr>
        <w:t>1</w:t>
      </w:r>
      <w:r w:rsidRPr="00E4462A">
        <w:rPr>
          <w:lang w:val="en-US"/>
        </w:rPr>
        <w:t>H JRES NMR spectrum with sections a</w:t>
      </w:r>
      <w:r w:rsidRPr="00E4462A">
        <w:rPr>
          <w:vertAlign w:val="subscript"/>
          <w:lang w:val="en-US"/>
        </w:rPr>
        <w:t>1</w:t>
      </w:r>
      <w:r w:rsidRPr="00E4462A">
        <w:rPr>
          <w:lang w:val="en-US"/>
        </w:rPr>
        <w:t>, a</w:t>
      </w:r>
      <w:r w:rsidRPr="00E4462A">
        <w:rPr>
          <w:vertAlign w:val="subscript"/>
          <w:lang w:val="en-US"/>
        </w:rPr>
        <w:t>2</w:t>
      </w:r>
      <w:r w:rsidRPr="00E4462A">
        <w:rPr>
          <w:lang w:val="en-US"/>
        </w:rPr>
        <w:t>, a</w:t>
      </w:r>
      <w:r w:rsidRPr="00E4462A">
        <w:rPr>
          <w:vertAlign w:val="subscript"/>
          <w:lang w:val="en-US"/>
        </w:rPr>
        <w:t>3</w:t>
      </w:r>
      <w:r w:rsidRPr="00E4462A">
        <w:rPr>
          <w:lang w:val="en-US"/>
        </w:rPr>
        <w:t xml:space="preserve">, denoting the area of panels B, C, D, which display </w:t>
      </w:r>
      <w:r w:rsidRPr="00E4462A">
        <w:rPr>
          <w:vertAlign w:val="superscript"/>
          <w:lang w:val="en-US"/>
        </w:rPr>
        <w:t>1</w:t>
      </w:r>
      <w:r w:rsidRPr="00E4462A">
        <w:rPr>
          <w:lang w:val="en-US"/>
        </w:rPr>
        <w:t xml:space="preserve">H NMR projections along JRES and </w:t>
      </w:r>
      <w:r w:rsidRPr="00E4462A">
        <w:rPr>
          <w:vertAlign w:val="superscript"/>
          <w:lang w:val="en-US"/>
        </w:rPr>
        <w:t>1</w:t>
      </w:r>
      <w:r w:rsidRPr="00E4462A">
        <w:rPr>
          <w:lang w:val="en-US"/>
        </w:rPr>
        <w:t xml:space="preserve">H, </w:t>
      </w:r>
      <w:r w:rsidRPr="00E4462A">
        <w:rPr>
          <w:vertAlign w:val="superscript"/>
          <w:lang w:val="en-US"/>
        </w:rPr>
        <w:t>13</w:t>
      </w:r>
      <w:r w:rsidRPr="00E4462A">
        <w:rPr>
          <w:lang w:val="en-US"/>
        </w:rPr>
        <w:t>C DEPT HSQC NMR spectra (copied from Fig. 6); panel B: section of OC</w:t>
      </w:r>
      <w:r w:rsidRPr="00E4462A">
        <w:rPr>
          <w:b/>
          <w:u w:val="single"/>
          <w:lang w:val="en-US"/>
        </w:rPr>
        <w:t>H</w:t>
      </w:r>
      <w:r w:rsidRPr="00E4462A">
        <w:rPr>
          <w:lang w:val="en-US"/>
        </w:rPr>
        <w:t xml:space="preserve"> aliphatic units, demonstrating (section b</w:t>
      </w:r>
      <w:r w:rsidRPr="00E4462A">
        <w:rPr>
          <w:vertAlign w:val="subscript"/>
          <w:lang w:val="en-US"/>
        </w:rPr>
        <w:t>1</w:t>
      </w:r>
      <w:r w:rsidRPr="00E4462A">
        <w:rPr>
          <w:lang w:val="en-US"/>
        </w:rPr>
        <w:t>) presence of intense JRES cross peaks from O</w:t>
      </w:r>
      <w:r w:rsidRPr="00E4462A">
        <w:rPr>
          <w:b/>
          <w:u w:val="single"/>
          <w:lang w:val="en-US"/>
        </w:rPr>
        <w:t>CH</w:t>
      </w:r>
      <w:r w:rsidRPr="00E4462A">
        <w:rPr>
          <w:b/>
          <w:u w:val="single"/>
          <w:vertAlign w:val="subscript"/>
          <w:lang w:val="en-US"/>
        </w:rPr>
        <w:t>3</w:t>
      </w:r>
      <w:r w:rsidRPr="00E4462A">
        <w:rPr>
          <w:lang w:val="en-US"/>
        </w:rPr>
        <w:t xml:space="preserve"> groups, with absence of J</w:t>
      </w:r>
      <w:r w:rsidRPr="00E4462A">
        <w:rPr>
          <w:vertAlign w:val="subscript"/>
          <w:lang w:val="en-US"/>
        </w:rPr>
        <w:t>HH</w:t>
      </w:r>
      <w:r w:rsidRPr="00E4462A">
        <w:rPr>
          <w:lang w:val="en-US"/>
        </w:rPr>
        <w:t xml:space="preserve"> splittings; panel C: section of aliphatic CC</w:t>
      </w:r>
      <w:r w:rsidRPr="00E4462A">
        <w:rPr>
          <w:b/>
          <w:u w:val="single"/>
          <w:lang w:val="en-US"/>
        </w:rPr>
        <w:t>H</w:t>
      </w:r>
      <w:r w:rsidRPr="00E4462A">
        <w:rPr>
          <w:lang w:val="en-US"/>
        </w:rPr>
        <w:t xml:space="preserve"> units, with dominance of HOOC-C</w:t>
      </w:r>
      <w:r w:rsidRPr="00E4462A">
        <w:rPr>
          <w:b/>
          <w:u w:val="single"/>
          <w:lang w:val="en-US"/>
        </w:rPr>
        <w:t>H</w:t>
      </w:r>
      <w:r w:rsidRPr="00E4462A">
        <w:rPr>
          <w:b/>
          <w:u w:val="single"/>
          <w:vertAlign w:val="subscript"/>
          <w:lang w:val="en-US"/>
        </w:rPr>
        <w:t>n</w:t>
      </w:r>
      <w:r w:rsidR="00C06EB5" w:rsidRPr="00E4462A">
        <w:rPr>
          <w:lang w:val="en-US"/>
        </w:rPr>
        <w:t>-C</w:t>
      </w:r>
      <w:r w:rsidRPr="00E4462A">
        <w:rPr>
          <w:lang w:val="en-US"/>
        </w:rPr>
        <w:t>H</w:t>
      </w:r>
      <w:r w:rsidRPr="00E4462A">
        <w:rPr>
          <w:vertAlign w:val="subscript"/>
          <w:lang w:val="en-US"/>
        </w:rPr>
        <w:t>2</w:t>
      </w:r>
      <w:r w:rsidRPr="00E4462A">
        <w:rPr>
          <w:lang w:val="en-US"/>
        </w:rPr>
        <w:t>- units (</w:t>
      </w:r>
      <w:r w:rsidR="00E30E26" w:rsidRPr="00E4462A">
        <w:rPr>
          <w:lang w:val="en-US"/>
        </w:rPr>
        <w:t>triplet</w:t>
      </w:r>
      <w:r w:rsidRPr="00E4462A">
        <w:rPr>
          <w:lang w:val="en-US"/>
        </w:rPr>
        <w:t xml:space="preserve"> J</w:t>
      </w:r>
      <w:r w:rsidRPr="00E4462A">
        <w:rPr>
          <w:vertAlign w:val="subscript"/>
          <w:lang w:val="en-US"/>
        </w:rPr>
        <w:t>HH</w:t>
      </w:r>
      <w:r w:rsidRPr="00E4462A">
        <w:rPr>
          <w:lang w:val="en-US"/>
        </w:rPr>
        <w:t xml:space="preserve"> splitting; n = 1, 2) over HOOC-C</w:t>
      </w:r>
      <w:r w:rsidRPr="00E4462A">
        <w:rPr>
          <w:b/>
          <w:u w:val="single"/>
          <w:lang w:val="en-US"/>
        </w:rPr>
        <w:t>H</w:t>
      </w:r>
      <w:r w:rsidRPr="00E4462A">
        <w:rPr>
          <w:b/>
          <w:u w:val="single"/>
          <w:vertAlign w:val="subscript"/>
          <w:lang w:val="en-US"/>
        </w:rPr>
        <w:t>n</w:t>
      </w:r>
      <w:r w:rsidR="00C06EB5" w:rsidRPr="00E4462A">
        <w:rPr>
          <w:lang w:val="en-US"/>
        </w:rPr>
        <w:t>-C</w:t>
      </w:r>
      <w:r w:rsidRPr="00E4462A">
        <w:rPr>
          <w:lang w:val="en-US"/>
        </w:rPr>
        <w:t>H</w:t>
      </w:r>
      <w:r w:rsidRPr="00E4462A">
        <w:rPr>
          <w:vertAlign w:val="subscript"/>
          <w:lang w:val="en-US"/>
        </w:rPr>
        <w:t>,</w:t>
      </w:r>
      <w:r w:rsidRPr="00E4462A">
        <w:rPr>
          <w:lang w:val="en-US"/>
        </w:rPr>
        <w:t>- units (</w:t>
      </w:r>
      <w:r w:rsidR="00E30E26" w:rsidRPr="00E4462A">
        <w:rPr>
          <w:lang w:val="en-US"/>
        </w:rPr>
        <w:t>doublet</w:t>
      </w:r>
      <w:r w:rsidRPr="00E4462A">
        <w:rPr>
          <w:lang w:val="en-US"/>
        </w:rPr>
        <w:t xml:space="preserve"> J</w:t>
      </w:r>
      <w:r w:rsidRPr="00E4462A">
        <w:rPr>
          <w:vertAlign w:val="subscript"/>
          <w:lang w:val="en-US"/>
        </w:rPr>
        <w:t>HH</w:t>
      </w:r>
      <w:r w:rsidRPr="00E4462A">
        <w:rPr>
          <w:lang w:val="en-US"/>
        </w:rPr>
        <w:t xml:space="preserve"> splitting; n = 1, 2) shown in section c</w:t>
      </w:r>
      <w:r w:rsidRPr="00E4462A">
        <w:rPr>
          <w:vertAlign w:val="subscript"/>
          <w:lang w:val="en-US"/>
        </w:rPr>
        <w:t>1</w:t>
      </w:r>
      <w:r w:rsidRPr="00E4462A">
        <w:rPr>
          <w:lang w:val="en-US"/>
        </w:rPr>
        <w:t>; section c</w:t>
      </w:r>
      <w:r w:rsidRPr="00E4462A">
        <w:rPr>
          <w:vertAlign w:val="subscript"/>
          <w:lang w:val="en-US"/>
        </w:rPr>
        <w:t>2</w:t>
      </w:r>
      <w:r w:rsidRPr="00E4462A">
        <w:rPr>
          <w:lang w:val="en-US"/>
        </w:rPr>
        <w:t xml:space="preserve"> </w:t>
      </w:r>
      <w:r w:rsidRPr="00E4462A">
        <w:rPr>
          <w:lang w:val="en-US"/>
        </w:rPr>
        <w:lastRenderedPageBreak/>
        <w:t>indicates panel D; panel D: section of aliphatic CCC</w:t>
      </w:r>
      <w:r w:rsidRPr="00E4462A">
        <w:rPr>
          <w:b/>
          <w:u w:val="single"/>
          <w:lang w:val="en-US"/>
        </w:rPr>
        <w:t>H</w:t>
      </w:r>
      <w:r w:rsidRPr="00E4462A">
        <w:rPr>
          <w:lang w:val="en-US"/>
        </w:rPr>
        <w:t xml:space="preserve"> units, showing a remarkable clustering of </w:t>
      </w:r>
      <w:r w:rsidRPr="00E4462A">
        <w:rPr>
          <w:b/>
          <w:u w:val="single"/>
          <w:lang w:val="en-US"/>
        </w:rPr>
        <w:t>H</w:t>
      </w:r>
      <w:r w:rsidRPr="00E4462A">
        <w:rPr>
          <w:b/>
          <w:u w:val="single"/>
          <w:vertAlign w:val="subscript"/>
          <w:lang w:val="en-US"/>
        </w:rPr>
        <w:t>3</w:t>
      </w:r>
      <w:r w:rsidRPr="00E4462A">
        <w:rPr>
          <w:lang w:val="en-US"/>
        </w:rPr>
        <w:t xml:space="preserve">C-CH- units at </w:t>
      </w:r>
      <w:r w:rsidRPr="00E4462A">
        <w:rPr>
          <w:rFonts w:ascii="Symbol" w:hAnsi="Symbol"/>
          <w:lang w:val="en-US"/>
        </w:rPr>
        <w:t></w:t>
      </w:r>
      <w:r w:rsidRPr="00E4462A">
        <w:rPr>
          <w:b/>
          <w:vertAlign w:val="subscript"/>
          <w:lang w:val="en-US"/>
        </w:rPr>
        <w:t>H</w:t>
      </w:r>
      <w:r w:rsidRPr="00E4462A">
        <w:rPr>
          <w:lang w:val="en-US"/>
        </w:rPr>
        <w:t xml:space="preserve"> : 1.0 – 1.4 ppm, which indicate pronounced aliphatic branching in section d</w:t>
      </w:r>
      <w:r w:rsidRPr="00E4462A">
        <w:rPr>
          <w:vertAlign w:val="subscript"/>
          <w:lang w:val="en-US"/>
        </w:rPr>
        <w:t>1</w:t>
      </w:r>
      <w:r w:rsidRPr="00E4462A">
        <w:rPr>
          <w:lang w:val="en-US"/>
        </w:rPr>
        <w:t xml:space="preserve"> (d</w:t>
      </w:r>
      <w:r w:rsidR="00E30E26" w:rsidRPr="00E4462A">
        <w:rPr>
          <w:lang w:val="en-US"/>
        </w:rPr>
        <w:t>o</w:t>
      </w:r>
      <w:r w:rsidRPr="00E4462A">
        <w:rPr>
          <w:lang w:val="en-US"/>
        </w:rPr>
        <w:t>ublet splitting from J</w:t>
      </w:r>
      <w:r w:rsidRPr="00E4462A">
        <w:rPr>
          <w:vertAlign w:val="subscript"/>
          <w:lang w:val="en-US"/>
        </w:rPr>
        <w:t>HH</w:t>
      </w:r>
      <w:r w:rsidRPr="00E4462A">
        <w:rPr>
          <w:lang w:val="en-US"/>
        </w:rPr>
        <w:t xml:space="preserve">), whereas ethyl groups </w:t>
      </w:r>
      <w:r w:rsidRPr="00E4462A">
        <w:rPr>
          <w:b/>
          <w:u w:val="single"/>
          <w:lang w:val="en-US"/>
        </w:rPr>
        <w:t>H</w:t>
      </w:r>
      <w:r w:rsidRPr="00E4462A">
        <w:rPr>
          <w:b/>
          <w:u w:val="single"/>
          <w:vertAlign w:val="subscript"/>
          <w:lang w:val="en-US"/>
        </w:rPr>
        <w:t>3</w:t>
      </w:r>
      <w:r w:rsidRPr="00E4462A">
        <w:rPr>
          <w:lang w:val="en-US"/>
        </w:rPr>
        <w:t>C-CH</w:t>
      </w:r>
      <w:r w:rsidRPr="00E4462A">
        <w:rPr>
          <w:vertAlign w:val="subscript"/>
          <w:lang w:val="en-US"/>
        </w:rPr>
        <w:t>2</w:t>
      </w:r>
      <w:r w:rsidRPr="00E4462A">
        <w:rPr>
          <w:lang w:val="en-US"/>
        </w:rPr>
        <w:t xml:space="preserve">- dominate the low field section </w:t>
      </w:r>
      <w:r w:rsidRPr="00E4462A">
        <w:rPr>
          <w:rFonts w:ascii="Symbol" w:hAnsi="Symbol"/>
          <w:lang w:val="en-US"/>
        </w:rPr>
        <w:t></w:t>
      </w:r>
      <w:r w:rsidRPr="00E4462A">
        <w:rPr>
          <w:vertAlign w:val="subscript"/>
          <w:lang w:val="en-US"/>
        </w:rPr>
        <w:t>H</w:t>
      </w:r>
      <w:r w:rsidRPr="00E4462A">
        <w:rPr>
          <w:lang w:val="en-US"/>
        </w:rPr>
        <w:t xml:space="preserve"> &lt; 1 ppm (section d</w:t>
      </w:r>
      <w:r w:rsidRPr="00E4462A">
        <w:rPr>
          <w:vertAlign w:val="subscript"/>
          <w:lang w:val="en-US"/>
        </w:rPr>
        <w:t>2</w:t>
      </w:r>
      <w:r w:rsidRPr="00E4462A">
        <w:rPr>
          <w:lang w:val="en-US"/>
        </w:rPr>
        <w:t>).</w:t>
      </w:r>
    </w:p>
    <w:p w14:paraId="73877CB6" w14:textId="77777777" w:rsidR="00043193" w:rsidRPr="00E4462A" w:rsidRDefault="00043193" w:rsidP="008B22B1">
      <w:pPr>
        <w:autoSpaceDE w:val="0"/>
        <w:autoSpaceDN w:val="0"/>
        <w:adjustRightInd w:val="0"/>
        <w:spacing w:line="360" w:lineRule="auto"/>
        <w:jc w:val="both"/>
        <w:rPr>
          <w:b/>
          <w:bCs/>
          <w:lang w:val="en-GB"/>
        </w:rPr>
      </w:pPr>
    </w:p>
    <w:p w14:paraId="2FC8594A" w14:textId="77777777" w:rsidR="00043193" w:rsidRPr="00E4462A" w:rsidRDefault="00043193" w:rsidP="008B22B1">
      <w:pPr>
        <w:autoSpaceDE w:val="0"/>
        <w:autoSpaceDN w:val="0"/>
        <w:adjustRightInd w:val="0"/>
        <w:spacing w:line="360" w:lineRule="auto"/>
        <w:jc w:val="both"/>
        <w:rPr>
          <w:b/>
          <w:bCs/>
          <w:lang w:val="en-GB"/>
        </w:rPr>
      </w:pPr>
      <w:r w:rsidRPr="00E4462A">
        <w:rPr>
          <w:b/>
          <w:bCs/>
          <w:lang w:val="en-GB"/>
        </w:rPr>
        <w:t xml:space="preserve">Fig. S7. </w:t>
      </w:r>
      <w:r w:rsidRPr="00E4462A">
        <w:rPr>
          <w:lang w:val="en-GB"/>
        </w:rPr>
        <w:t xml:space="preserve">Mass edited H/C ratios from negative electrospray 12T FTICR </w:t>
      </w:r>
      <w:r w:rsidR="00C06EB5" w:rsidRPr="00E4462A">
        <w:rPr>
          <w:lang w:val="en-GB"/>
        </w:rPr>
        <w:t xml:space="preserve">mass  spectra </w:t>
      </w:r>
      <w:r w:rsidRPr="00E4462A">
        <w:rPr>
          <w:lang w:val="en-GB"/>
        </w:rPr>
        <w:t>of Wetlands SPE-DOM:</w:t>
      </w:r>
      <w:r w:rsidRPr="00E4462A">
        <w:rPr>
          <w:b/>
          <w:lang w:val="en-GB"/>
        </w:rPr>
        <w:t xml:space="preserve"> </w:t>
      </w:r>
      <w:r w:rsidRPr="00E4462A">
        <w:rPr>
          <w:lang w:val="en-GB"/>
        </w:rPr>
        <w:t>(A) OKA-L; (B) OKA-S; (C) PAN-L; (D) PAN-S; (E) FCE-L; (F) FCE-S. Insert histograms show the number of assigned molecular compositions. Colour code for elemental compositions bearing combinations of C, H, O, N, and S atoms are defined as follow</w:t>
      </w:r>
      <w:r w:rsidR="00C06EB5" w:rsidRPr="00E4462A">
        <w:rPr>
          <w:lang w:val="en-GB"/>
        </w:rPr>
        <w:t>s</w:t>
      </w:r>
      <w:r w:rsidRPr="00E4462A">
        <w:rPr>
          <w:lang w:val="en-GB"/>
        </w:rPr>
        <w:t>: blue (CHO), orange (CHNO), green (CHOS) and red (CHNOS). Bubble areas reflect the relative intensities of each mass peak.</w:t>
      </w:r>
    </w:p>
    <w:p w14:paraId="3416396F" w14:textId="77777777" w:rsidR="00043193" w:rsidRPr="00E4462A" w:rsidRDefault="00043193" w:rsidP="008B22B1">
      <w:pPr>
        <w:spacing w:line="360" w:lineRule="auto"/>
        <w:jc w:val="both"/>
        <w:rPr>
          <w:lang w:val="en-US"/>
        </w:rPr>
      </w:pPr>
    </w:p>
    <w:p w14:paraId="53A63116" w14:textId="77777777" w:rsidR="00043193" w:rsidRPr="00E4462A" w:rsidRDefault="00043193" w:rsidP="008B22B1">
      <w:pPr>
        <w:spacing w:line="360" w:lineRule="auto"/>
        <w:jc w:val="both"/>
        <w:rPr>
          <w:lang w:val="en-GB"/>
        </w:rPr>
      </w:pPr>
      <w:r w:rsidRPr="00E4462A">
        <w:rPr>
          <w:b/>
          <w:lang w:val="en-GB"/>
        </w:rPr>
        <w:t xml:space="preserve">Fig. S8. </w:t>
      </w:r>
      <w:r w:rsidRPr="00E4462A">
        <w:rPr>
          <w:lang w:val="en-GB"/>
        </w:rPr>
        <w:t>Comparative analysis of van Krevelen diagrams derived from negative electrospray 12T FTICR mass spectra derived from four Pantanal and Okavango SPE-OM only. (A) Clustering diagram based on the similarity values between the FTICR mass spectra of these four SPE-DOM; (B) Molecular compositions with rather high abundance in both Okavango SPE-DOM; (C) Molecular compositions with rather high abundance in both Pantanal SPE-DOM, with color code according to molecular series (cf. text). The bright blue triangle denotes aromatic compounds, with aromaticity index AI &gt; 0.5 (Koch and Dittmar, 2006); see Fig. 9 and attendant discussion.</w:t>
      </w:r>
    </w:p>
    <w:p w14:paraId="47ACBEF6" w14:textId="77777777" w:rsidR="00043193" w:rsidRPr="00E4462A" w:rsidRDefault="00043193" w:rsidP="008B22B1">
      <w:pPr>
        <w:spacing w:after="200" w:line="276" w:lineRule="auto"/>
        <w:jc w:val="both"/>
        <w:rPr>
          <w:sz w:val="20"/>
          <w:szCs w:val="20"/>
          <w:lang w:val="en-GB"/>
        </w:rPr>
      </w:pPr>
      <w:r w:rsidRPr="00E4462A">
        <w:rPr>
          <w:sz w:val="20"/>
          <w:szCs w:val="20"/>
          <w:lang w:val="en-GB"/>
        </w:rPr>
        <w:br w:type="page"/>
      </w:r>
    </w:p>
    <w:p w14:paraId="31CEE872" w14:textId="77777777" w:rsidR="00E279E6" w:rsidRPr="00E4462A" w:rsidRDefault="00E279E6" w:rsidP="008B22B1">
      <w:pPr>
        <w:jc w:val="both"/>
        <w:rPr>
          <w:b/>
          <w:lang w:val="en-US"/>
        </w:rPr>
        <w:sectPr w:rsidR="00E279E6" w:rsidRPr="00E4462A" w:rsidSect="00CA032D">
          <w:footerReference w:type="even" r:id="rId10"/>
          <w:footerReference w:type="default" r:id="rId11"/>
          <w:pgSz w:w="12240" w:h="15840"/>
          <w:pgMar w:top="1440" w:right="1440" w:bottom="1440" w:left="1440" w:header="720" w:footer="720" w:gutter="0"/>
          <w:lnNumType w:countBy="1" w:restart="continuous"/>
          <w:cols w:space="720"/>
          <w:docGrid w:linePitch="360"/>
        </w:sectPr>
      </w:pPr>
    </w:p>
    <w:p w14:paraId="4926B138" w14:textId="3A2B7FB4" w:rsidR="00043193" w:rsidRPr="00E4462A" w:rsidRDefault="00043193" w:rsidP="008B22B1">
      <w:pPr>
        <w:jc w:val="both"/>
        <w:rPr>
          <w:lang w:val="en-US"/>
        </w:rPr>
      </w:pPr>
      <w:r w:rsidRPr="00E4462A">
        <w:rPr>
          <w:b/>
          <w:lang w:val="en-US"/>
        </w:rPr>
        <w:lastRenderedPageBreak/>
        <w:t>Table 1:</w:t>
      </w:r>
      <w:r w:rsidRPr="00E4462A">
        <w:rPr>
          <w:lang w:val="en-US"/>
        </w:rPr>
        <w:t xml:space="preserve"> DOC and optical properties of the six bulk water samples collected for SPE-DOM</w:t>
      </w:r>
    </w:p>
    <w:tbl>
      <w:tblPr>
        <w:tblW w:w="16387" w:type="dxa"/>
        <w:tblInd w:w="93" w:type="dxa"/>
        <w:tblLook w:val="04A0" w:firstRow="1" w:lastRow="0" w:firstColumn="1" w:lastColumn="0" w:noHBand="0" w:noVBand="1"/>
      </w:tblPr>
      <w:tblGrid>
        <w:gridCol w:w="960"/>
        <w:gridCol w:w="988"/>
        <w:gridCol w:w="960"/>
        <w:gridCol w:w="999"/>
        <w:gridCol w:w="960"/>
        <w:gridCol w:w="960"/>
        <w:gridCol w:w="960"/>
        <w:gridCol w:w="960"/>
        <w:gridCol w:w="960"/>
        <w:gridCol w:w="960"/>
        <w:gridCol w:w="960"/>
        <w:gridCol w:w="960"/>
        <w:gridCol w:w="960"/>
        <w:gridCol w:w="960"/>
        <w:gridCol w:w="960"/>
        <w:gridCol w:w="960"/>
        <w:gridCol w:w="960"/>
      </w:tblGrid>
      <w:tr w:rsidR="00043193" w:rsidRPr="00E4462A" w14:paraId="26780DFC" w14:textId="77777777" w:rsidTr="00B55AEE">
        <w:trPr>
          <w:trHeight w:val="315"/>
        </w:trPr>
        <w:tc>
          <w:tcPr>
            <w:tcW w:w="16387" w:type="dxa"/>
            <w:gridSpan w:val="17"/>
            <w:tcBorders>
              <w:top w:val="single" w:sz="4" w:space="0" w:color="auto"/>
              <w:left w:val="nil"/>
              <w:bottom w:val="nil"/>
              <w:right w:val="nil"/>
            </w:tcBorders>
            <w:noWrap/>
            <w:vAlign w:val="bottom"/>
          </w:tcPr>
          <w:p w14:paraId="6C69809E" w14:textId="77777777" w:rsidR="00043193" w:rsidRPr="00E4462A" w:rsidRDefault="00043193" w:rsidP="008B22B1">
            <w:pPr>
              <w:spacing w:line="276" w:lineRule="auto"/>
              <w:jc w:val="both"/>
              <w:rPr>
                <w:rFonts w:ascii="Calibri" w:hAnsi="Calibri"/>
                <w:lang w:val="en-US"/>
              </w:rPr>
            </w:pPr>
          </w:p>
        </w:tc>
      </w:tr>
      <w:tr w:rsidR="00043193" w:rsidRPr="00E4462A" w14:paraId="3170DF15" w14:textId="77777777" w:rsidTr="00B55AEE">
        <w:trPr>
          <w:trHeight w:val="375"/>
        </w:trPr>
        <w:tc>
          <w:tcPr>
            <w:tcW w:w="960" w:type="dxa"/>
            <w:tcBorders>
              <w:top w:val="nil"/>
              <w:left w:val="nil"/>
              <w:bottom w:val="double" w:sz="6" w:space="0" w:color="auto"/>
              <w:right w:val="nil"/>
            </w:tcBorders>
            <w:noWrap/>
            <w:vAlign w:val="bottom"/>
            <w:hideMark/>
          </w:tcPr>
          <w:p w14:paraId="66BD3544"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 </w:t>
            </w:r>
          </w:p>
        </w:tc>
        <w:tc>
          <w:tcPr>
            <w:tcW w:w="988" w:type="dxa"/>
            <w:tcBorders>
              <w:top w:val="nil"/>
              <w:left w:val="nil"/>
              <w:bottom w:val="double" w:sz="6" w:space="0" w:color="auto"/>
              <w:right w:val="nil"/>
            </w:tcBorders>
            <w:noWrap/>
            <w:vAlign w:val="bottom"/>
            <w:hideMark/>
          </w:tcPr>
          <w:p w14:paraId="03B15ECD"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Sample </w:t>
            </w:r>
          </w:p>
        </w:tc>
        <w:tc>
          <w:tcPr>
            <w:tcW w:w="960" w:type="dxa"/>
            <w:tcBorders>
              <w:top w:val="nil"/>
              <w:left w:val="nil"/>
              <w:bottom w:val="double" w:sz="6" w:space="0" w:color="auto"/>
              <w:right w:val="nil"/>
            </w:tcBorders>
            <w:noWrap/>
            <w:vAlign w:val="bottom"/>
            <w:hideMark/>
          </w:tcPr>
          <w:p w14:paraId="468EA3EE" w14:textId="77777777" w:rsidR="00043193" w:rsidRPr="00E4462A" w:rsidRDefault="00043193" w:rsidP="00B55AEE">
            <w:pPr>
              <w:spacing w:line="276" w:lineRule="auto"/>
              <w:jc w:val="center"/>
              <w:rPr>
                <w:rFonts w:ascii="Calibri" w:eastAsia="Calibri" w:hAnsi="Calibri"/>
                <w:sz w:val="22"/>
                <w:szCs w:val="22"/>
                <w:lang w:val="en-US"/>
              </w:rPr>
            </w:pPr>
            <w:r w:rsidRPr="00E4462A">
              <w:rPr>
                <w:rFonts w:ascii="Calibri" w:eastAsia="Calibri" w:hAnsi="Calibri"/>
                <w:sz w:val="22"/>
                <w:szCs w:val="22"/>
                <w:lang w:val="en-US"/>
              </w:rPr>
              <w:t>DOC</w:t>
            </w:r>
          </w:p>
          <w:p w14:paraId="6933C9E9" w14:textId="77777777" w:rsidR="00043193" w:rsidRPr="00E4462A" w:rsidRDefault="00043193" w:rsidP="00B55AEE">
            <w:pPr>
              <w:spacing w:line="276" w:lineRule="auto"/>
              <w:jc w:val="center"/>
              <w:rPr>
                <w:rFonts w:ascii="Calibri" w:eastAsia="Calibri" w:hAnsi="Calibri"/>
                <w:sz w:val="22"/>
                <w:szCs w:val="22"/>
                <w:lang w:val="en-US"/>
              </w:rPr>
            </w:pPr>
            <w:r w:rsidRPr="00E4462A">
              <w:rPr>
                <w:rFonts w:ascii="Calibri" w:eastAsia="Calibri" w:hAnsi="Calibri"/>
                <w:sz w:val="22"/>
                <w:szCs w:val="22"/>
                <w:lang w:val="en-US"/>
              </w:rPr>
              <w:t>(ppm)</w:t>
            </w:r>
          </w:p>
        </w:tc>
        <w:tc>
          <w:tcPr>
            <w:tcW w:w="999" w:type="dxa"/>
            <w:tcBorders>
              <w:top w:val="nil"/>
              <w:left w:val="nil"/>
              <w:bottom w:val="double" w:sz="6" w:space="0" w:color="auto"/>
              <w:right w:val="nil"/>
            </w:tcBorders>
            <w:noWrap/>
            <w:vAlign w:val="bottom"/>
            <w:hideMark/>
          </w:tcPr>
          <w:p w14:paraId="02D5D16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SUVA</w:t>
            </w:r>
            <w:r w:rsidRPr="00E4462A">
              <w:rPr>
                <w:rFonts w:ascii="Calibri" w:hAnsi="Calibri"/>
                <w:vertAlign w:val="subscript"/>
                <w:lang w:val="en-US"/>
              </w:rPr>
              <w:t>254</w:t>
            </w:r>
          </w:p>
        </w:tc>
        <w:tc>
          <w:tcPr>
            <w:tcW w:w="960" w:type="dxa"/>
            <w:tcBorders>
              <w:top w:val="nil"/>
              <w:left w:val="nil"/>
              <w:bottom w:val="double" w:sz="6" w:space="0" w:color="auto"/>
              <w:right w:val="nil"/>
            </w:tcBorders>
            <w:noWrap/>
            <w:vAlign w:val="bottom"/>
            <w:hideMark/>
          </w:tcPr>
          <w:p w14:paraId="5FD01E0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Abs</w:t>
            </w:r>
            <w:r w:rsidRPr="00E4462A">
              <w:rPr>
                <w:rFonts w:ascii="Calibri" w:hAnsi="Calibri"/>
                <w:vertAlign w:val="subscript"/>
                <w:lang w:val="en-US"/>
              </w:rPr>
              <w:t>254</w:t>
            </w:r>
          </w:p>
        </w:tc>
        <w:tc>
          <w:tcPr>
            <w:tcW w:w="960" w:type="dxa"/>
            <w:tcBorders>
              <w:top w:val="nil"/>
              <w:left w:val="nil"/>
              <w:bottom w:val="double" w:sz="6" w:space="0" w:color="auto"/>
              <w:right w:val="nil"/>
            </w:tcBorders>
            <w:noWrap/>
            <w:vAlign w:val="bottom"/>
            <w:hideMark/>
          </w:tcPr>
          <w:p w14:paraId="4E1C23A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S</w:t>
            </w:r>
            <w:r w:rsidRPr="00E4462A">
              <w:rPr>
                <w:rFonts w:ascii="Calibri" w:hAnsi="Calibri"/>
                <w:vertAlign w:val="subscript"/>
                <w:lang w:val="en-US"/>
              </w:rPr>
              <w:t>R</w:t>
            </w:r>
          </w:p>
        </w:tc>
        <w:tc>
          <w:tcPr>
            <w:tcW w:w="960" w:type="dxa"/>
            <w:tcBorders>
              <w:top w:val="nil"/>
              <w:left w:val="nil"/>
              <w:bottom w:val="double" w:sz="6" w:space="0" w:color="auto"/>
              <w:right w:val="nil"/>
            </w:tcBorders>
            <w:noWrap/>
            <w:vAlign w:val="bottom"/>
            <w:hideMark/>
          </w:tcPr>
          <w:p w14:paraId="2890578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FI</w:t>
            </w:r>
          </w:p>
        </w:tc>
        <w:tc>
          <w:tcPr>
            <w:tcW w:w="960" w:type="dxa"/>
            <w:tcBorders>
              <w:top w:val="nil"/>
              <w:left w:val="nil"/>
              <w:bottom w:val="double" w:sz="6" w:space="0" w:color="auto"/>
              <w:right w:val="nil"/>
            </w:tcBorders>
            <w:noWrap/>
            <w:vAlign w:val="bottom"/>
            <w:hideMark/>
          </w:tcPr>
          <w:p w14:paraId="447A565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TFI</w:t>
            </w:r>
          </w:p>
          <w:p w14:paraId="244F3D5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(QSU)</w:t>
            </w:r>
          </w:p>
        </w:tc>
        <w:tc>
          <w:tcPr>
            <w:tcW w:w="960" w:type="dxa"/>
            <w:tcBorders>
              <w:top w:val="nil"/>
              <w:left w:val="nil"/>
              <w:bottom w:val="double" w:sz="6" w:space="0" w:color="auto"/>
              <w:right w:val="nil"/>
            </w:tcBorders>
            <w:noWrap/>
            <w:vAlign w:val="bottom"/>
            <w:hideMark/>
          </w:tcPr>
          <w:p w14:paraId="0EF033FB"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%C1</w:t>
            </w:r>
          </w:p>
        </w:tc>
        <w:tc>
          <w:tcPr>
            <w:tcW w:w="960" w:type="dxa"/>
            <w:tcBorders>
              <w:top w:val="nil"/>
              <w:left w:val="nil"/>
              <w:bottom w:val="double" w:sz="6" w:space="0" w:color="auto"/>
              <w:right w:val="nil"/>
            </w:tcBorders>
            <w:noWrap/>
            <w:vAlign w:val="bottom"/>
            <w:hideMark/>
          </w:tcPr>
          <w:p w14:paraId="3006D8B6"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%C2</w:t>
            </w:r>
          </w:p>
        </w:tc>
        <w:tc>
          <w:tcPr>
            <w:tcW w:w="960" w:type="dxa"/>
            <w:tcBorders>
              <w:top w:val="nil"/>
              <w:left w:val="nil"/>
              <w:bottom w:val="double" w:sz="6" w:space="0" w:color="auto"/>
              <w:right w:val="nil"/>
            </w:tcBorders>
            <w:noWrap/>
            <w:vAlign w:val="bottom"/>
            <w:hideMark/>
          </w:tcPr>
          <w:p w14:paraId="11B47E4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%C3</w:t>
            </w:r>
          </w:p>
        </w:tc>
        <w:tc>
          <w:tcPr>
            <w:tcW w:w="960" w:type="dxa"/>
            <w:tcBorders>
              <w:top w:val="nil"/>
              <w:left w:val="nil"/>
              <w:bottom w:val="double" w:sz="6" w:space="0" w:color="auto"/>
              <w:right w:val="nil"/>
            </w:tcBorders>
            <w:noWrap/>
            <w:vAlign w:val="bottom"/>
            <w:hideMark/>
          </w:tcPr>
          <w:p w14:paraId="545C7009"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%C4</w:t>
            </w:r>
          </w:p>
        </w:tc>
        <w:tc>
          <w:tcPr>
            <w:tcW w:w="960" w:type="dxa"/>
            <w:tcBorders>
              <w:top w:val="nil"/>
              <w:left w:val="nil"/>
              <w:bottom w:val="double" w:sz="6" w:space="0" w:color="auto"/>
              <w:right w:val="nil"/>
            </w:tcBorders>
            <w:noWrap/>
            <w:vAlign w:val="bottom"/>
            <w:hideMark/>
          </w:tcPr>
          <w:p w14:paraId="7942DCBD"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%C5</w:t>
            </w:r>
          </w:p>
        </w:tc>
        <w:tc>
          <w:tcPr>
            <w:tcW w:w="960" w:type="dxa"/>
            <w:tcBorders>
              <w:top w:val="nil"/>
              <w:left w:val="nil"/>
              <w:bottom w:val="double" w:sz="6" w:space="0" w:color="auto"/>
              <w:right w:val="nil"/>
            </w:tcBorders>
            <w:noWrap/>
            <w:vAlign w:val="bottom"/>
            <w:hideMark/>
          </w:tcPr>
          <w:p w14:paraId="151B25D7"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%C6</w:t>
            </w:r>
          </w:p>
        </w:tc>
        <w:tc>
          <w:tcPr>
            <w:tcW w:w="960" w:type="dxa"/>
            <w:tcBorders>
              <w:top w:val="nil"/>
              <w:left w:val="nil"/>
              <w:bottom w:val="double" w:sz="6" w:space="0" w:color="auto"/>
              <w:right w:val="nil"/>
            </w:tcBorders>
            <w:noWrap/>
            <w:vAlign w:val="bottom"/>
            <w:hideMark/>
          </w:tcPr>
          <w:p w14:paraId="4D87613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%C7</w:t>
            </w:r>
          </w:p>
        </w:tc>
        <w:tc>
          <w:tcPr>
            <w:tcW w:w="960" w:type="dxa"/>
            <w:tcBorders>
              <w:top w:val="nil"/>
              <w:left w:val="nil"/>
              <w:bottom w:val="double" w:sz="6" w:space="0" w:color="auto"/>
              <w:right w:val="nil"/>
            </w:tcBorders>
            <w:noWrap/>
            <w:vAlign w:val="bottom"/>
            <w:hideMark/>
          </w:tcPr>
          <w:p w14:paraId="5DA9C9C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%C8</w:t>
            </w:r>
          </w:p>
        </w:tc>
        <w:tc>
          <w:tcPr>
            <w:tcW w:w="960" w:type="dxa"/>
            <w:noWrap/>
            <w:vAlign w:val="bottom"/>
            <w:hideMark/>
          </w:tcPr>
          <w:p w14:paraId="55AEE415"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7C2B7324" w14:textId="77777777" w:rsidTr="00B55AEE">
        <w:trPr>
          <w:trHeight w:val="330"/>
        </w:trPr>
        <w:tc>
          <w:tcPr>
            <w:tcW w:w="960" w:type="dxa"/>
            <w:noWrap/>
            <w:vAlign w:val="bottom"/>
            <w:hideMark/>
          </w:tcPr>
          <w:p w14:paraId="522B0038"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1</w:t>
            </w:r>
          </w:p>
        </w:tc>
        <w:tc>
          <w:tcPr>
            <w:tcW w:w="988" w:type="dxa"/>
            <w:noWrap/>
            <w:vAlign w:val="bottom"/>
            <w:hideMark/>
          </w:tcPr>
          <w:p w14:paraId="56B44B25"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FCE-L</w:t>
            </w:r>
          </w:p>
        </w:tc>
        <w:tc>
          <w:tcPr>
            <w:tcW w:w="960" w:type="dxa"/>
            <w:noWrap/>
            <w:vAlign w:val="bottom"/>
            <w:hideMark/>
          </w:tcPr>
          <w:p w14:paraId="5DB3AC5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28.57</w:t>
            </w:r>
          </w:p>
        </w:tc>
        <w:tc>
          <w:tcPr>
            <w:tcW w:w="999" w:type="dxa"/>
            <w:noWrap/>
            <w:vAlign w:val="bottom"/>
            <w:hideMark/>
          </w:tcPr>
          <w:p w14:paraId="50E8A1DC"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2.95</w:t>
            </w:r>
          </w:p>
        </w:tc>
        <w:tc>
          <w:tcPr>
            <w:tcW w:w="960" w:type="dxa"/>
            <w:noWrap/>
            <w:vAlign w:val="bottom"/>
            <w:hideMark/>
          </w:tcPr>
          <w:p w14:paraId="07965D9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0.844</w:t>
            </w:r>
          </w:p>
        </w:tc>
        <w:tc>
          <w:tcPr>
            <w:tcW w:w="960" w:type="dxa"/>
            <w:noWrap/>
            <w:vAlign w:val="bottom"/>
            <w:hideMark/>
          </w:tcPr>
          <w:p w14:paraId="2E9186E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0.95</w:t>
            </w:r>
          </w:p>
        </w:tc>
        <w:tc>
          <w:tcPr>
            <w:tcW w:w="960" w:type="dxa"/>
            <w:noWrap/>
            <w:vAlign w:val="bottom"/>
            <w:hideMark/>
          </w:tcPr>
          <w:p w14:paraId="1FF1415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1.34</w:t>
            </w:r>
          </w:p>
        </w:tc>
        <w:tc>
          <w:tcPr>
            <w:tcW w:w="960" w:type="dxa"/>
            <w:noWrap/>
            <w:vAlign w:val="bottom"/>
            <w:hideMark/>
          </w:tcPr>
          <w:p w14:paraId="0564258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968.34</w:t>
            </w:r>
          </w:p>
        </w:tc>
        <w:tc>
          <w:tcPr>
            <w:tcW w:w="960" w:type="dxa"/>
            <w:noWrap/>
            <w:vAlign w:val="bottom"/>
            <w:hideMark/>
          </w:tcPr>
          <w:p w14:paraId="6E01A3F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28%</w:t>
            </w:r>
          </w:p>
        </w:tc>
        <w:tc>
          <w:tcPr>
            <w:tcW w:w="960" w:type="dxa"/>
            <w:noWrap/>
            <w:vAlign w:val="bottom"/>
            <w:hideMark/>
          </w:tcPr>
          <w:p w14:paraId="4FFBD30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9%</w:t>
            </w:r>
          </w:p>
        </w:tc>
        <w:tc>
          <w:tcPr>
            <w:tcW w:w="960" w:type="dxa"/>
            <w:noWrap/>
            <w:vAlign w:val="bottom"/>
            <w:hideMark/>
          </w:tcPr>
          <w:p w14:paraId="0ADAC7E0"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23%</w:t>
            </w:r>
          </w:p>
        </w:tc>
        <w:tc>
          <w:tcPr>
            <w:tcW w:w="960" w:type="dxa"/>
            <w:noWrap/>
            <w:vAlign w:val="bottom"/>
            <w:hideMark/>
          </w:tcPr>
          <w:p w14:paraId="06328F2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12%</w:t>
            </w:r>
          </w:p>
        </w:tc>
        <w:tc>
          <w:tcPr>
            <w:tcW w:w="960" w:type="dxa"/>
            <w:noWrap/>
            <w:vAlign w:val="bottom"/>
            <w:hideMark/>
          </w:tcPr>
          <w:p w14:paraId="5CAB910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14%</w:t>
            </w:r>
          </w:p>
        </w:tc>
        <w:tc>
          <w:tcPr>
            <w:tcW w:w="960" w:type="dxa"/>
            <w:noWrap/>
            <w:vAlign w:val="bottom"/>
            <w:hideMark/>
          </w:tcPr>
          <w:p w14:paraId="3CE7B806"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w:t>
            </w:r>
          </w:p>
        </w:tc>
        <w:tc>
          <w:tcPr>
            <w:tcW w:w="960" w:type="dxa"/>
            <w:noWrap/>
            <w:vAlign w:val="bottom"/>
            <w:hideMark/>
          </w:tcPr>
          <w:p w14:paraId="208B8909"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6%</w:t>
            </w:r>
          </w:p>
        </w:tc>
        <w:tc>
          <w:tcPr>
            <w:tcW w:w="960" w:type="dxa"/>
            <w:noWrap/>
            <w:vAlign w:val="bottom"/>
            <w:hideMark/>
          </w:tcPr>
          <w:p w14:paraId="2414E35B"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4%</w:t>
            </w:r>
          </w:p>
        </w:tc>
        <w:tc>
          <w:tcPr>
            <w:tcW w:w="960" w:type="dxa"/>
            <w:noWrap/>
            <w:vAlign w:val="bottom"/>
            <w:hideMark/>
          </w:tcPr>
          <w:p w14:paraId="5062DFAB"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473AAE59" w14:textId="77777777" w:rsidTr="00B55AEE">
        <w:trPr>
          <w:trHeight w:val="315"/>
        </w:trPr>
        <w:tc>
          <w:tcPr>
            <w:tcW w:w="960" w:type="dxa"/>
            <w:noWrap/>
            <w:vAlign w:val="bottom"/>
            <w:hideMark/>
          </w:tcPr>
          <w:p w14:paraId="29ED2BFB"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2</w:t>
            </w:r>
          </w:p>
        </w:tc>
        <w:tc>
          <w:tcPr>
            <w:tcW w:w="988" w:type="dxa"/>
            <w:noWrap/>
            <w:vAlign w:val="bottom"/>
            <w:hideMark/>
          </w:tcPr>
          <w:p w14:paraId="0ABD186D"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FCE-S</w:t>
            </w:r>
          </w:p>
        </w:tc>
        <w:tc>
          <w:tcPr>
            <w:tcW w:w="960" w:type="dxa"/>
            <w:noWrap/>
            <w:vAlign w:val="bottom"/>
            <w:hideMark/>
          </w:tcPr>
          <w:p w14:paraId="135EB1B7"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9.67</w:t>
            </w:r>
          </w:p>
        </w:tc>
        <w:tc>
          <w:tcPr>
            <w:tcW w:w="999" w:type="dxa"/>
            <w:noWrap/>
            <w:vAlign w:val="bottom"/>
            <w:hideMark/>
          </w:tcPr>
          <w:p w14:paraId="32D48216"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2.72</w:t>
            </w:r>
          </w:p>
        </w:tc>
        <w:tc>
          <w:tcPr>
            <w:tcW w:w="960" w:type="dxa"/>
            <w:noWrap/>
            <w:vAlign w:val="bottom"/>
            <w:hideMark/>
          </w:tcPr>
          <w:p w14:paraId="1D8F603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0.263</w:t>
            </w:r>
          </w:p>
        </w:tc>
        <w:tc>
          <w:tcPr>
            <w:tcW w:w="960" w:type="dxa"/>
            <w:noWrap/>
            <w:vAlign w:val="bottom"/>
            <w:hideMark/>
          </w:tcPr>
          <w:p w14:paraId="206A9F6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0.98</w:t>
            </w:r>
          </w:p>
        </w:tc>
        <w:tc>
          <w:tcPr>
            <w:tcW w:w="960" w:type="dxa"/>
            <w:noWrap/>
            <w:vAlign w:val="bottom"/>
            <w:hideMark/>
          </w:tcPr>
          <w:p w14:paraId="35721D91"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1.44</w:t>
            </w:r>
          </w:p>
        </w:tc>
        <w:tc>
          <w:tcPr>
            <w:tcW w:w="960" w:type="dxa"/>
            <w:noWrap/>
            <w:vAlign w:val="bottom"/>
            <w:hideMark/>
          </w:tcPr>
          <w:p w14:paraId="75E513C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360.11</w:t>
            </w:r>
          </w:p>
        </w:tc>
        <w:tc>
          <w:tcPr>
            <w:tcW w:w="960" w:type="dxa"/>
            <w:noWrap/>
            <w:vAlign w:val="bottom"/>
            <w:hideMark/>
          </w:tcPr>
          <w:p w14:paraId="7034736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34%</w:t>
            </w:r>
          </w:p>
        </w:tc>
        <w:tc>
          <w:tcPr>
            <w:tcW w:w="960" w:type="dxa"/>
            <w:noWrap/>
            <w:vAlign w:val="bottom"/>
            <w:hideMark/>
          </w:tcPr>
          <w:p w14:paraId="273D67BB"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w:t>
            </w:r>
          </w:p>
        </w:tc>
        <w:tc>
          <w:tcPr>
            <w:tcW w:w="960" w:type="dxa"/>
            <w:noWrap/>
            <w:vAlign w:val="bottom"/>
            <w:hideMark/>
          </w:tcPr>
          <w:p w14:paraId="79C134E4"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15%</w:t>
            </w:r>
          </w:p>
        </w:tc>
        <w:tc>
          <w:tcPr>
            <w:tcW w:w="960" w:type="dxa"/>
            <w:noWrap/>
            <w:vAlign w:val="bottom"/>
            <w:hideMark/>
          </w:tcPr>
          <w:p w14:paraId="0417055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13%</w:t>
            </w:r>
          </w:p>
        </w:tc>
        <w:tc>
          <w:tcPr>
            <w:tcW w:w="960" w:type="dxa"/>
            <w:noWrap/>
            <w:vAlign w:val="bottom"/>
            <w:hideMark/>
          </w:tcPr>
          <w:p w14:paraId="0235A86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15%</w:t>
            </w:r>
          </w:p>
        </w:tc>
        <w:tc>
          <w:tcPr>
            <w:tcW w:w="960" w:type="dxa"/>
            <w:noWrap/>
            <w:vAlign w:val="bottom"/>
            <w:hideMark/>
          </w:tcPr>
          <w:p w14:paraId="5F8AA600"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10%</w:t>
            </w:r>
          </w:p>
        </w:tc>
        <w:tc>
          <w:tcPr>
            <w:tcW w:w="960" w:type="dxa"/>
            <w:noWrap/>
            <w:vAlign w:val="bottom"/>
            <w:hideMark/>
          </w:tcPr>
          <w:p w14:paraId="650F306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5%</w:t>
            </w:r>
          </w:p>
        </w:tc>
        <w:tc>
          <w:tcPr>
            <w:tcW w:w="960" w:type="dxa"/>
            <w:noWrap/>
            <w:vAlign w:val="bottom"/>
            <w:hideMark/>
          </w:tcPr>
          <w:p w14:paraId="12BFFD0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5%</w:t>
            </w:r>
          </w:p>
        </w:tc>
        <w:tc>
          <w:tcPr>
            <w:tcW w:w="960" w:type="dxa"/>
            <w:noWrap/>
            <w:vAlign w:val="bottom"/>
            <w:hideMark/>
          </w:tcPr>
          <w:p w14:paraId="6A5B2F83"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148BB8A4" w14:textId="77777777" w:rsidTr="00B55AEE">
        <w:trPr>
          <w:trHeight w:val="315"/>
        </w:trPr>
        <w:tc>
          <w:tcPr>
            <w:tcW w:w="960" w:type="dxa"/>
            <w:noWrap/>
            <w:vAlign w:val="bottom"/>
            <w:hideMark/>
          </w:tcPr>
          <w:p w14:paraId="313F6C8B"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3</w:t>
            </w:r>
          </w:p>
        </w:tc>
        <w:tc>
          <w:tcPr>
            <w:tcW w:w="988" w:type="dxa"/>
            <w:noWrap/>
            <w:vAlign w:val="bottom"/>
            <w:hideMark/>
          </w:tcPr>
          <w:p w14:paraId="6933CCA9"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OKA-L</w:t>
            </w:r>
          </w:p>
        </w:tc>
        <w:tc>
          <w:tcPr>
            <w:tcW w:w="960" w:type="dxa"/>
            <w:noWrap/>
            <w:vAlign w:val="bottom"/>
            <w:hideMark/>
          </w:tcPr>
          <w:p w14:paraId="033F6A2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6.33</w:t>
            </w:r>
          </w:p>
        </w:tc>
        <w:tc>
          <w:tcPr>
            <w:tcW w:w="999" w:type="dxa"/>
            <w:noWrap/>
            <w:vAlign w:val="bottom"/>
            <w:hideMark/>
          </w:tcPr>
          <w:p w14:paraId="32D73BB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3.19</w:t>
            </w:r>
          </w:p>
        </w:tc>
        <w:tc>
          <w:tcPr>
            <w:tcW w:w="960" w:type="dxa"/>
            <w:noWrap/>
            <w:vAlign w:val="bottom"/>
            <w:hideMark/>
          </w:tcPr>
          <w:p w14:paraId="0619EEF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0.202</w:t>
            </w:r>
          </w:p>
        </w:tc>
        <w:tc>
          <w:tcPr>
            <w:tcW w:w="960" w:type="dxa"/>
            <w:noWrap/>
            <w:vAlign w:val="bottom"/>
            <w:hideMark/>
          </w:tcPr>
          <w:p w14:paraId="2BF229C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0.91</w:t>
            </w:r>
          </w:p>
        </w:tc>
        <w:tc>
          <w:tcPr>
            <w:tcW w:w="960" w:type="dxa"/>
            <w:noWrap/>
            <w:vAlign w:val="bottom"/>
            <w:hideMark/>
          </w:tcPr>
          <w:p w14:paraId="043A07F9"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1.36</w:t>
            </w:r>
          </w:p>
        </w:tc>
        <w:tc>
          <w:tcPr>
            <w:tcW w:w="960" w:type="dxa"/>
            <w:noWrap/>
            <w:vAlign w:val="bottom"/>
            <w:hideMark/>
          </w:tcPr>
          <w:p w14:paraId="415089E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180.99</w:t>
            </w:r>
          </w:p>
        </w:tc>
        <w:tc>
          <w:tcPr>
            <w:tcW w:w="960" w:type="dxa"/>
            <w:noWrap/>
            <w:vAlign w:val="bottom"/>
            <w:hideMark/>
          </w:tcPr>
          <w:p w14:paraId="49C7A129"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35%</w:t>
            </w:r>
          </w:p>
        </w:tc>
        <w:tc>
          <w:tcPr>
            <w:tcW w:w="960" w:type="dxa"/>
            <w:noWrap/>
            <w:vAlign w:val="bottom"/>
            <w:hideMark/>
          </w:tcPr>
          <w:p w14:paraId="0A7E82DB"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w:t>
            </w:r>
          </w:p>
        </w:tc>
        <w:tc>
          <w:tcPr>
            <w:tcW w:w="960" w:type="dxa"/>
            <w:noWrap/>
            <w:vAlign w:val="bottom"/>
            <w:hideMark/>
          </w:tcPr>
          <w:p w14:paraId="326EC0A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19%</w:t>
            </w:r>
          </w:p>
        </w:tc>
        <w:tc>
          <w:tcPr>
            <w:tcW w:w="960" w:type="dxa"/>
            <w:noWrap/>
            <w:vAlign w:val="bottom"/>
            <w:hideMark/>
          </w:tcPr>
          <w:p w14:paraId="5DE2CB1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11%</w:t>
            </w:r>
          </w:p>
        </w:tc>
        <w:tc>
          <w:tcPr>
            <w:tcW w:w="960" w:type="dxa"/>
            <w:noWrap/>
            <w:vAlign w:val="bottom"/>
            <w:hideMark/>
          </w:tcPr>
          <w:p w14:paraId="6096498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17%</w:t>
            </w:r>
          </w:p>
        </w:tc>
        <w:tc>
          <w:tcPr>
            <w:tcW w:w="960" w:type="dxa"/>
            <w:noWrap/>
            <w:vAlign w:val="bottom"/>
            <w:hideMark/>
          </w:tcPr>
          <w:p w14:paraId="008FE33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7%</w:t>
            </w:r>
          </w:p>
        </w:tc>
        <w:tc>
          <w:tcPr>
            <w:tcW w:w="960" w:type="dxa"/>
            <w:noWrap/>
            <w:vAlign w:val="bottom"/>
            <w:hideMark/>
          </w:tcPr>
          <w:p w14:paraId="2B0D662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7%</w:t>
            </w:r>
          </w:p>
        </w:tc>
        <w:tc>
          <w:tcPr>
            <w:tcW w:w="960" w:type="dxa"/>
            <w:noWrap/>
            <w:vAlign w:val="bottom"/>
            <w:hideMark/>
          </w:tcPr>
          <w:p w14:paraId="3C152C4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w:t>
            </w:r>
          </w:p>
        </w:tc>
        <w:tc>
          <w:tcPr>
            <w:tcW w:w="960" w:type="dxa"/>
            <w:noWrap/>
            <w:vAlign w:val="bottom"/>
            <w:hideMark/>
          </w:tcPr>
          <w:p w14:paraId="13508F07"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20274092" w14:textId="77777777" w:rsidTr="00B55AEE">
        <w:trPr>
          <w:trHeight w:val="315"/>
        </w:trPr>
        <w:tc>
          <w:tcPr>
            <w:tcW w:w="960" w:type="dxa"/>
            <w:noWrap/>
            <w:vAlign w:val="bottom"/>
            <w:hideMark/>
          </w:tcPr>
          <w:p w14:paraId="4F372ECA"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4</w:t>
            </w:r>
          </w:p>
        </w:tc>
        <w:tc>
          <w:tcPr>
            <w:tcW w:w="988" w:type="dxa"/>
            <w:noWrap/>
            <w:vAlign w:val="bottom"/>
            <w:hideMark/>
          </w:tcPr>
          <w:p w14:paraId="130AD29A"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OKA-S</w:t>
            </w:r>
          </w:p>
        </w:tc>
        <w:tc>
          <w:tcPr>
            <w:tcW w:w="960" w:type="dxa"/>
            <w:noWrap/>
            <w:vAlign w:val="bottom"/>
            <w:hideMark/>
          </w:tcPr>
          <w:p w14:paraId="213E21E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9.87</w:t>
            </w:r>
          </w:p>
        </w:tc>
        <w:tc>
          <w:tcPr>
            <w:tcW w:w="999" w:type="dxa"/>
            <w:noWrap/>
            <w:vAlign w:val="bottom"/>
            <w:hideMark/>
          </w:tcPr>
          <w:p w14:paraId="67A79174"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2.98</w:t>
            </w:r>
          </w:p>
        </w:tc>
        <w:tc>
          <w:tcPr>
            <w:tcW w:w="960" w:type="dxa"/>
            <w:noWrap/>
            <w:vAlign w:val="bottom"/>
            <w:hideMark/>
          </w:tcPr>
          <w:p w14:paraId="2283F69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0.294</w:t>
            </w:r>
          </w:p>
        </w:tc>
        <w:tc>
          <w:tcPr>
            <w:tcW w:w="960" w:type="dxa"/>
            <w:noWrap/>
            <w:vAlign w:val="bottom"/>
            <w:hideMark/>
          </w:tcPr>
          <w:p w14:paraId="3B98DF5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0.97</w:t>
            </w:r>
          </w:p>
        </w:tc>
        <w:tc>
          <w:tcPr>
            <w:tcW w:w="960" w:type="dxa"/>
            <w:noWrap/>
            <w:vAlign w:val="bottom"/>
            <w:hideMark/>
          </w:tcPr>
          <w:p w14:paraId="72BC110C"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1.33</w:t>
            </w:r>
          </w:p>
        </w:tc>
        <w:tc>
          <w:tcPr>
            <w:tcW w:w="960" w:type="dxa"/>
            <w:noWrap/>
            <w:vAlign w:val="bottom"/>
            <w:hideMark/>
          </w:tcPr>
          <w:p w14:paraId="33E6E56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158.16</w:t>
            </w:r>
          </w:p>
        </w:tc>
        <w:tc>
          <w:tcPr>
            <w:tcW w:w="960" w:type="dxa"/>
            <w:noWrap/>
            <w:vAlign w:val="bottom"/>
            <w:hideMark/>
          </w:tcPr>
          <w:p w14:paraId="3BFB9DEC"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31%</w:t>
            </w:r>
          </w:p>
        </w:tc>
        <w:tc>
          <w:tcPr>
            <w:tcW w:w="960" w:type="dxa"/>
            <w:noWrap/>
            <w:vAlign w:val="bottom"/>
            <w:hideMark/>
          </w:tcPr>
          <w:p w14:paraId="3EE64A17"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w:t>
            </w:r>
          </w:p>
        </w:tc>
        <w:tc>
          <w:tcPr>
            <w:tcW w:w="960" w:type="dxa"/>
            <w:noWrap/>
            <w:vAlign w:val="bottom"/>
            <w:hideMark/>
          </w:tcPr>
          <w:p w14:paraId="23B528A7"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20%</w:t>
            </w:r>
          </w:p>
        </w:tc>
        <w:tc>
          <w:tcPr>
            <w:tcW w:w="960" w:type="dxa"/>
            <w:noWrap/>
            <w:vAlign w:val="bottom"/>
            <w:hideMark/>
          </w:tcPr>
          <w:p w14:paraId="77E54F67"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11%</w:t>
            </w:r>
          </w:p>
        </w:tc>
        <w:tc>
          <w:tcPr>
            <w:tcW w:w="960" w:type="dxa"/>
            <w:noWrap/>
            <w:vAlign w:val="bottom"/>
            <w:hideMark/>
          </w:tcPr>
          <w:p w14:paraId="33242039"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16%</w:t>
            </w:r>
          </w:p>
        </w:tc>
        <w:tc>
          <w:tcPr>
            <w:tcW w:w="960" w:type="dxa"/>
            <w:noWrap/>
            <w:vAlign w:val="bottom"/>
            <w:hideMark/>
          </w:tcPr>
          <w:p w14:paraId="0BF503A7"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5%</w:t>
            </w:r>
          </w:p>
        </w:tc>
        <w:tc>
          <w:tcPr>
            <w:tcW w:w="960" w:type="dxa"/>
            <w:noWrap/>
            <w:vAlign w:val="bottom"/>
            <w:hideMark/>
          </w:tcPr>
          <w:p w14:paraId="5199C21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10%</w:t>
            </w:r>
          </w:p>
        </w:tc>
        <w:tc>
          <w:tcPr>
            <w:tcW w:w="960" w:type="dxa"/>
            <w:noWrap/>
            <w:vAlign w:val="bottom"/>
            <w:hideMark/>
          </w:tcPr>
          <w:p w14:paraId="12B7841C"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4%</w:t>
            </w:r>
          </w:p>
        </w:tc>
        <w:tc>
          <w:tcPr>
            <w:tcW w:w="960" w:type="dxa"/>
            <w:noWrap/>
            <w:vAlign w:val="bottom"/>
            <w:hideMark/>
          </w:tcPr>
          <w:p w14:paraId="2553EFE7"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61E9D653" w14:textId="77777777" w:rsidTr="00B55AEE">
        <w:trPr>
          <w:trHeight w:val="315"/>
        </w:trPr>
        <w:tc>
          <w:tcPr>
            <w:tcW w:w="960" w:type="dxa"/>
            <w:noWrap/>
            <w:vAlign w:val="bottom"/>
            <w:hideMark/>
          </w:tcPr>
          <w:p w14:paraId="1CE4D7BD"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5</w:t>
            </w:r>
          </w:p>
        </w:tc>
        <w:tc>
          <w:tcPr>
            <w:tcW w:w="988" w:type="dxa"/>
            <w:noWrap/>
            <w:vAlign w:val="bottom"/>
            <w:hideMark/>
          </w:tcPr>
          <w:p w14:paraId="12353811"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PAN-L</w:t>
            </w:r>
          </w:p>
        </w:tc>
        <w:tc>
          <w:tcPr>
            <w:tcW w:w="960" w:type="dxa"/>
            <w:noWrap/>
            <w:vAlign w:val="bottom"/>
            <w:hideMark/>
          </w:tcPr>
          <w:p w14:paraId="1EB4A5D1"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5.82</w:t>
            </w:r>
          </w:p>
        </w:tc>
        <w:tc>
          <w:tcPr>
            <w:tcW w:w="999" w:type="dxa"/>
            <w:noWrap/>
            <w:vAlign w:val="bottom"/>
            <w:hideMark/>
          </w:tcPr>
          <w:p w14:paraId="1349FAE6"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5.11</w:t>
            </w:r>
          </w:p>
        </w:tc>
        <w:tc>
          <w:tcPr>
            <w:tcW w:w="960" w:type="dxa"/>
            <w:noWrap/>
            <w:vAlign w:val="bottom"/>
            <w:hideMark/>
          </w:tcPr>
          <w:p w14:paraId="182B1755"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0.297</w:t>
            </w:r>
          </w:p>
        </w:tc>
        <w:tc>
          <w:tcPr>
            <w:tcW w:w="960" w:type="dxa"/>
            <w:noWrap/>
            <w:vAlign w:val="bottom"/>
            <w:hideMark/>
          </w:tcPr>
          <w:p w14:paraId="482AE02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0.92</w:t>
            </w:r>
          </w:p>
        </w:tc>
        <w:tc>
          <w:tcPr>
            <w:tcW w:w="960" w:type="dxa"/>
            <w:noWrap/>
            <w:vAlign w:val="bottom"/>
            <w:hideMark/>
          </w:tcPr>
          <w:p w14:paraId="2FE74FC7" w14:textId="77777777" w:rsidR="00043193" w:rsidRPr="00E4462A" w:rsidRDefault="00043193" w:rsidP="00B55AEE">
            <w:pPr>
              <w:spacing w:line="276" w:lineRule="auto"/>
              <w:jc w:val="center"/>
              <w:rPr>
                <w:rFonts w:ascii="Arial" w:hAnsi="Arial" w:cs="Arial"/>
                <w:sz w:val="20"/>
                <w:szCs w:val="20"/>
                <w:lang w:val="en-US"/>
              </w:rPr>
            </w:pPr>
            <w:r w:rsidRPr="00E4462A">
              <w:rPr>
                <w:rFonts w:ascii="Arial" w:hAnsi="Arial" w:cs="Arial"/>
                <w:sz w:val="20"/>
                <w:szCs w:val="20"/>
                <w:lang w:val="en-US"/>
              </w:rPr>
              <w:t>1.41</w:t>
            </w:r>
          </w:p>
        </w:tc>
        <w:tc>
          <w:tcPr>
            <w:tcW w:w="960" w:type="dxa"/>
            <w:noWrap/>
            <w:vAlign w:val="bottom"/>
            <w:hideMark/>
          </w:tcPr>
          <w:p w14:paraId="57EC63ED"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267.59</w:t>
            </w:r>
          </w:p>
        </w:tc>
        <w:tc>
          <w:tcPr>
            <w:tcW w:w="960" w:type="dxa"/>
            <w:noWrap/>
            <w:vAlign w:val="bottom"/>
            <w:hideMark/>
          </w:tcPr>
          <w:p w14:paraId="22C264C0"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34%</w:t>
            </w:r>
          </w:p>
        </w:tc>
        <w:tc>
          <w:tcPr>
            <w:tcW w:w="960" w:type="dxa"/>
            <w:noWrap/>
            <w:vAlign w:val="bottom"/>
            <w:hideMark/>
          </w:tcPr>
          <w:p w14:paraId="169FD193"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w:t>
            </w:r>
          </w:p>
        </w:tc>
        <w:tc>
          <w:tcPr>
            <w:tcW w:w="960" w:type="dxa"/>
            <w:noWrap/>
            <w:vAlign w:val="bottom"/>
            <w:hideMark/>
          </w:tcPr>
          <w:p w14:paraId="0C37B43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16%</w:t>
            </w:r>
          </w:p>
        </w:tc>
        <w:tc>
          <w:tcPr>
            <w:tcW w:w="960" w:type="dxa"/>
            <w:noWrap/>
            <w:vAlign w:val="bottom"/>
            <w:hideMark/>
          </w:tcPr>
          <w:p w14:paraId="500A7F1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10%</w:t>
            </w:r>
          </w:p>
        </w:tc>
        <w:tc>
          <w:tcPr>
            <w:tcW w:w="960" w:type="dxa"/>
            <w:noWrap/>
            <w:vAlign w:val="bottom"/>
            <w:hideMark/>
          </w:tcPr>
          <w:p w14:paraId="3DB9B97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15%</w:t>
            </w:r>
          </w:p>
        </w:tc>
        <w:tc>
          <w:tcPr>
            <w:tcW w:w="960" w:type="dxa"/>
            <w:noWrap/>
            <w:vAlign w:val="bottom"/>
            <w:hideMark/>
          </w:tcPr>
          <w:p w14:paraId="190DFC74"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8%</w:t>
            </w:r>
          </w:p>
        </w:tc>
        <w:tc>
          <w:tcPr>
            <w:tcW w:w="960" w:type="dxa"/>
            <w:noWrap/>
            <w:vAlign w:val="bottom"/>
            <w:hideMark/>
          </w:tcPr>
          <w:p w14:paraId="489AB446"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10%</w:t>
            </w:r>
          </w:p>
        </w:tc>
        <w:tc>
          <w:tcPr>
            <w:tcW w:w="960" w:type="dxa"/>
            <w:noWrap/>
            <w:vAlign w:val="bottom"/>
            <w:hideMark/>
          </w:tcPr>
          <w:p w14:paraId="7202BBD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5%</w:t>
            </w:r>
          </w:p>
        </w:tc>
        <w:tc>
          <w:tcPr>
            <w:tcW w:w="960" w:type="dxa"/>
            <w:noWrap/>
            <w:vAlign w:val="bottom"/>
            <w:hideMark/>
          </w:tcPr>
          <w:p w14:paraId="6DEE16B4"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464F65E0" w14:textId="77777777" w:rsidTr="00B55AEE">
        <w:trPr>
          <w:trHeight w:val="315"/>
        </w:trPr>
        <w:tc>
          <w:tcPr>
            <w:tcW w:w="960" w:type="dxa"/>
            <w:tcBorders>
              <w:top w:val="nil"/>
              <w:left w:val="nil"/>
              <w:bottom w:val="single" w:sz="4" w:space="0" w:color="auto"/>
              <w:right w:val="nil"/>
            </w:tcBorders>
            <w:noWrap/>
            <w:vAlign w:val="bottom"/>
            <w:hideMark/>
          </w:tcPr>
          <w:p w14:paraId="62D00D62"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6</w:t>
            </w:r>
          </w:p>
        </w:tc>
        <w:tc>
          <w:tcPr>
            <w:tcW w:w="988" w:type="dxa"/>
            <w:tcBorders>
              <w:top w:val="nil"/>
              <w:left w:val="nil"/>
              <w:bottom w:val="single" w:sz="4" w:space="0" w:color="auto"/>
              <w:right w:val="nil"/>
            </w:tcBorders>
            <w:noWrap/>
            <w:vAlign w:val="bottom"/>
            <w:hideMark/>
          </w:tcPr>
          <w:p w14:paraId="629E63A2" w14:textId="77777777" w:rsidR="00043193" w:rsidRPr="00E4462A" w:rsidRDefault="00043193" w:rsidP="008B22B1">
            <w:pPr>
              <w:spacing w:line="276" w:lineRule="auto"/>
              <w:jc w:val="both"/>
              <w:rPr>
                <w:rFonts w:ascii="Calibri" w:hAnsi="Calibri"/>
                <w:lang w:val="en-US"/>
              </w:rPr>
            </w:pPr>
            <w:r w:rsidRPr="00E4462A">
              <w:rPr>
                <w:rFonts w:ascii="Calibri" w:hAnsi="Calibri"/>
                <w:lang w:val="en-US"/>
              </w:rPr>
              <w:t>PAN-S</w:t>
            </w:r>
          </w:p>
        </w:tc>
        <w:tc>
          <w:tcPr>
            <w:tcW w:w="960" w:type="dxa"/>
            <w:tcBorders>
              <w:top w:val="nil"/>
              <w:left w:val="nil"/>
              <w:bottom w:val="single" w:sz="4" w:space="0" w:color="auto"/>
              <w:right w:val="nil"/>
            </w:tcBorders>
            <w:noWrap/>
            <w:vAlign w:val="bottom"/>
            <w:hideMark/>
          </w:tcPr>
          <w:p w14:paraId="7161216E"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6.60</w:t>
            </w:r>
          </w:p>
        </w:tc>
        <w:tc>
          <w:tcPr>
            <w:tcW w:w="999" w:type="dxa"/>
            <w:tcBorders>
              <w:top w:val="nil"/>
              <w:left w:val="nil"/>
              <w:bottom w:val="single" w:sz="4" w:space="0" w:color="auto"/>
              <w:right w:val="nil"/>
            </w:tcBorders>
            <w:noWrap/>
            <w:vAlign w:val="bottom"/>
            <w:hideMark/>
          </w:tcPr>
          <w:p w14:paraId="364C6229"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4.49</w:t>
            </w:r>
          </w:p>
        </w:tc>
        <w:tc>
          <w:tcPr>
            <w:tcW w:w="960" w:type="dxa"/>
            <w:tcBorders>
              <w:top w:val="nil"/>
              <w:left w:val="nil"/>
              <w:bottom w:val="single" w:sz="4" w:space="0" w:color="auto"/>
              <w:right w:val="nil"/>
            </w:tcBorders>
            <w:noWrap/>
            <w:vAlign w:val="bottom"/>
            <w:hideMark/>
          </w:tcPr>
          <w:p w14:paraId="2B5E99A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0.296</w:t>
            </w:r>
          </w:p>
        </w:tc>
        <w:tc>
          <w:tcPr>
            <w:tcW w:w="960" w:type="dxa"/>
            <w:tcBorders>
              <w:top w:val="nil"/>
              <w:left w:val="nil"/>
              <w:bottom w:val="single" w:sz="4" w:space="0" w:color="auto"/>
              <w:right w:val="nil"/>
            </w:tcBorders>
            <w:noWrap/>
            <w:vAlign w:val="bottom"/>
            <w:hideMark/>
          </w:tcPr>
          <w:p w14:paraId="6738B46A"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0.91</w:t>
            </w:r>
          </w:p>
        </w:tc>
        <w:tc>
          <w:tcPr>
            <w:tcW w:w="960" w:type="dxa"/>
            <w:tcBorders>
              <w:top w:val="nil"/>
              <w:left w:val="nil"/>
              <w:bottom w:val="single" w:sz="4" w:space="0" w:color="auto"/>
              <w:right w:val="nil"/>
            </w:tcBorders>
            <w:noWrap/>
            <w:vAlign w:val="bottom"/>
            <w:hideMark/>
          </w:tcPr>
          <w:p w14:paraId="056E3B2D"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1.39</w:t>
            </w:r>
          </w:p>
        </w:tc>
        <w:tc>
          <w:tcPr>
            <w:tcW w:w="960" w:type="dxa"/>
            <w:tcBorders>
              <w:top w:val="nil"/>
              <w:left w:val="nil"/>
              <w:bottom w:val="single" w:sz="4" w:space="0" w:color="auto"/>
              <w:right w:val="nil"/>
            </w:tcBorders>
            <w:noWrap/>
            <w:vAlign w:val="bottom"/>
            <w:hideMark/>
          </w:tcPr>
          <w:p w14:paraId="70E0D9B4"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270.05</w:t>
            </w:r>
          </w:p>
        </w:tc>
        <w:tc>
          <w:tcPr>
            <w:tcW w:w="960" w:type="dxa"/>
            <w:tcBorders>
              <w:top w:val="nil"/>
              <w:left w:val="nil"/>
              <w:bottom w:val="single" w:sz="4" w:space="0" w:color="auto"/>
              <w:right w:val="nil"/>
            </w:tcBorders>
            <w:noWrap/>
            <w:vAlign w:val="bottom"/>
            <w:hideMark/>
          </w:tcPr>
          <w:p w14:paraId="7D0CBC9B"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37%</w:t>
            </w:r>
          </w:p>
        </w:tc>
        <w:tc>
          <w:tcPr>
            <w:tcW w:w="960" w:type="dxa"/>
            <w:tcBorders>
              <w:top w:val="nil"/>
              <w:left w:val="nil"/>
              <w:bottom w:val="single" w:sz="4" w:space="0" w:color="auto"/>
              <w:right w:val="nil"/>
            </w:tcBorders>
            <w:noWrap/>
            <w:vAlign w:val="bottom"/>
            <w:hideMark/>
          </w:tcPr>
          <w:p w14:paraId="6CAC8E00"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0%</w:t>
            </w:r>
          </w:p>
        </w:tc>
        <w:tc>
          <w:tcPr>
            <w:tcW w:w="960" w:type="dxa"/>
            <w:tcBorders>
              <w:top w:val="nil"/>
              <w:left w:val="nil"/>
              <w:bottom w:val="single" w:sz="4" w:space="0" w:color="auto"/>
              <w:right w:val="nil"/>
            </w:tcBorders>
            <w:noWrap/>
            <w:vAlign w:val="bottom"/>
            <w:hideMark/>
          </w:tcPr>
          <w:p w14:paraId="32D09468"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20%</w:t>
            </w:r>
          </w:p>
        </w:tc>
        <w:tc>
          <w:tcPr>
            <w:tcW w:w="960" w:type="dxa"/>
            <w:tcBorders>
              <w:top w:val="nil"/>
              <w:left w:val="nil"/>
              <w:bottom w:val="single" w:sz="4" w:space="0" w:color="auto"/>
              <w:right w:val="nil"/>
            </w:tcBorders>
            <w:noWrap/>
            <w:vAlign w:val="bottom"/>
            <w:hideMark/>
          </w:tcPr>
          <w:p w14:paraId="06DA1DBF"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11%</w:t>
            </w:r>
          </w:p>
        </w:tc>
        <w:tc>
          <w:tcPr>
            <w:tcW w:w="960" w:type="dxa"/>
            <w:tcBorders>
              <w:top w:val="nil"/>
              <w:left w:val="nil"/>
              <w:bottom w:val="single" w:sz="4" w:space="0" w:color="auto"/>
              <w:right w:val="nil"/>
            </w:tcBorders>
            <w:noWrap/>
            <w:vAlign w:val="bottom"/>
            <w:hideMark/>
          </w:tcPr>
          <w:p w14:paraId="78B3D23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16%</w:t>
            </w:r>
          </w:p>
        </w:tc>
        <w:tc>
          <w:tcPr>
            <w:tcW w:w="960" w:type="dxa"/>
            <w:tcBorders>
              <w:top w:val="nil"/>
              <w:left w:val="nil"/>
              <w:bottom w:val="single" w:sz="4" w:space="0" w:color="auto"/>
              <w:right w:val="nil"/>
            </w:tcBorders>
            <w:noWrap/>
            <w:vAlign w:val="bottom"/>
            <w:hideMark/>
          </w:tcPr>
          <w:p w14:paraId="2593AFA4"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7%</w:t>
            </w:r>
          </w:p>
        </w:tc>
        <w:tc>
          <w:tcPr>
            <w:tcW w:w="960" w:type="dxa"/>
            <w:tcBorders>
              <w:top w:val="nil"/>
              <w:left w:val="nil"/>
              <w:bottom w:val="single" w:sz="4" w:space="0" w:color="auto"/>
              <w:right w:val="nil"/>
            </w:tcBorders>
            <w:noWrap/>
            <w:vAlign w:val="bottom"/>
            <w:hideMark/>
          </w:tcPr>
          <w:p w14:paraId="2DC5FA93"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6%</w:t>
            </w:r>
          </w:p>
        </w:tc>
        <w:tc>
          <w:tcPr>
            <w:tcW w:w="960" w:type="dxa"/>
            <w:tcBorders>
              <w:top w:val="nil"/>
              <w:left w:val="nil"/>
              <w:bottom w:val="single" w:sz="4" w:space="0" w:color="auto"/>
              <w:right w:val="nil"/>
            </w:tcBorders>
            <w:noWrap/>
            <w:vAlign w:val="bottom"/>
            <w:hideMark/>
          </w:tcPr>
          <w:p w14:paraId="1F2AA4A2" w14:textId="77777777" w:rsidR="00043193" w:rsidRPr="00E4462A" w:rsidRDefault="00043193" w:rsidP="00B55AEE">
            <w:pPr>
              <w:spacing w:line="276" w:lineRule="auto"/>
              <w:jc w:val="center"/>
              <w:rPr>
                <w:rFonts w:ascii="Calibri" w:hAnsi="Calibri"/>
                <w:lang w:val="en-US"/>
              </w:rPr>
            </w:pPr>
            <w:r w:rsidRPr="00E4462A">
              <w:rPr>
                <w:rFonts w:ascii="Calibri" w:hAnsi="Calibri"/>
                <w:lang w:val="en-US"/>
              </w:rPr>
              <w:t>3%</w:t>
            </w:r>
          </w:p>
        </w:tc>
        <w:tc>
          <w:tcPr>
            <w:tcW w:w="960" w:type="dxa"/>
            <w:noWrap/>
            <w:vAlign w:val="bottom"/>
            <w:hideMark/>
          </w:tcPr>
          <w:p w14:paraId="41FA9C6A" w14:textId="77777777" w:rsidR="00043193" w:rsidRPr="00E4462A" w:rsidRDefault="00043193" w:rsidP="008B22B1">
            <w:pPr>
              <w:spacing w:line="276" w:lineRule="auto"/>
              <w:jc w:val="both"/>
              <w:rPr>
                <w:rFonts w:ascii="Calibri" w:eastAsia="Calibri" w:hAnsi="Calibri"/>
                <w:sz w:val="22"/>
                <w:szCs w:val="22"/>
                <w:lang w:val="en-US"/>
              </w:rPr>
            </w:pPr>
          </w:p>
        </w:tc>
      </w:tr>
      <w:tr w:rsidR="00043193" w:rsidRPr="00E4462A" w14:paraId="755B999D" w14:textId="77777777" w:rsidTr="00B55AEE">
        <w:trPr>
          <w:trHeight w:val="300"/>
        </w:trPr>
        <w:tc>
          <w:tcPr>
            <w:tcW w:w="960" w:type="dxa"/>
            <w:noWrap/>
            <w:vAlign w:val="bottom"/>
            <w:hideMark/>
          </w:tcPr>
          <w:p w14:paraId="6F041445" w14:textId="77777777" w:rsidR="00043193" w:rsidRPr="00E4462A" w:rsidRDefault="00043193" w:rsidP="008B22B1">
            <w:pPr>
              <w:spacing w:line="276" w:lineRule="auto"/>
              <w:jc w:val="both"/>
              <w:rPr>
                <w:rFonts w:ascii="Calibri" w:eastAsia="Calibri" w:hAnsi="Calibri"/>
                <w:sz w:val="22"/>
                <w:szCs w:val="22"/>
                <w:lang w:val="en-US"/>
              </w:rPr>
            </w:pPr>
          </w:p>
        </w:tc>
        <w:tc>
          <w:tcPr>
            <w:tcW w:w="988" w:type="dxa"/>
            <w:noWrap/>
            <w:vAlign w:val="bottom"/>
            <w:hideMark/>
          </w:tcPr>
          <w:p w14:paraId="0A8A895D"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7FC476A5" w14:textId="77777777" w:rsidR="00043193" w:rsidRPr="00E4462A" w:rsidRDefault="00043193" w:rsidP="008B22B1">
            <w:pPr>
              <w:spacing w:line="276" w:lineRule="auto"/>
              <w:jc w:val="both"/>
              <w:rPr>
                <w:rFonts w:ascii="Calibri" w:eastAsia="Calibri" w:hAnsi="Calibri"/>
                <w:sz w:val="22"/>
                <w:szCs w:val="22"/>
                <w:lang w:val="en-US"/>
              </w:rPr>
            </w:pPr>
          </w:p>
        </w:tc>
        <w:tc>
          <w:tcPr>
            <w:tcW w:w="999" w:type="dxa"/>
            <w:noWrap/>
            <w:vAlign w:val="bottom"/>
            <w:hideMark/>
          </w:tcPr>
          <w:p w14:paraId="2F088B2F"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75D04BA2"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52F28395"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3CAEBD2D"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169C3D38"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02E546F8"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30E03F5C"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25EB66CC"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52D35755"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10CA2CB3"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37219A2E"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1F24B7AC"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5EA6F69B" w14:textId="77777777" w:rsidR="00043193" w:rsidRPr="00E4462A" w:rsidRDefault="00043193" w:rsidP="008B22B1">
            <w:pPr>
              <w:spacing w:line="276" w:lineRule="auto"/>
              <w:jc w:val="both"/>
              <w:rPr>
                <w:rFonts w:ascii="Calibri" w:eastAsia="Calibri" w:hAnsi="Calibri"/>
                <w:sz w:val="22"/>
                <w:szCs w:val="22"/>
                <w:lang w:val="en-US"/>
              </w:rPr>
            </w:pPr>
          </w:p>
        </w:tc>
        <w:tc>
          <w:tcPr>
            <w:tcW w:w="960" w:type="dxa"/>
            <w:noWrap/>
            <w:vAlign w:val="bottom"/>
            <w:hideMark/>
          </w:tcPr>
          <w:p w14:paraId="464F9032" w14:textId="77777777" w:rsidR="00043193" w:rsidRPr="00E4462A" w:rsidRDefault="00043193" w:rsidP="008B22B1">
            <w:pPr>
              <w:spacing w:line="276" w:lineRule="auto"/>
              <w:jc w:val="both"/>
              <w:rPr>
                <w:rFonts w:ascii="Calibri" w:eastAsia="Calibri" w:hAnsi="Calibri"/>
                <w:sz w:val="22"/>
                <w:szCs w:val="22"/>
                <w:lang w:val="en-US"/>
              </w:rPr>
            </w:pPr>
          </w:p>
        </w:tc>
      </w:tr>
    </w:tbl>
    <w:p w14:paraId="12040B24" w14:textId="77777777" w:rsidR="00043193" w:rsidRPr="00E4462A" w:rsidRDefault="00043193" w:rsidP="008B22B1">
      <w:pPr>
        <w:spacing w:line="360" w:lineRule="auto"/>
        <w:jc w:val="both"/>
        <w:rPr>
          <w:b/>
          <w:sz w:val="20"/>
          <w:szCs w:val="20"/>
          <w:lang w:val="en-US" w:eastAsia="zh-CN"/>
        </w:rPr>
      </w:pPr>
    </w:p>
    <w:tbl>
      <w:tblPr>
        <w:tblW w:w="19344" w:type="dxa"/>
        <w:tblInd w:w="93" w:type="dxa"/>
        <w:tblLook w:val="04A0" w:firstRow="1" w:lastRow="0" w:firstColumn="1" w:lastColumn="0" w:noHBand="0" w:noVBand="1"/>
      </w:tblPr>
      <w:tblGrid>
        <w:gridCol w:w="5865"/>
        <w:gridCol w:w="999"/>
        <w:gridCol w:w="960"/>
        <w:gridCol w:w="960"/>
        <w:gridCol w:w="960"/>
        <w:gridCol w:w="960"/>
        <w:gridCol w:w="960"/>
        <w:gridCol w:w="960"/>
        <w:gridCol w:w="960"/>
        <w:gridCol w:w="960"/>
        <w:gridCol w:w="960"/>
        <w:gridCol w:w="960"/>
        <w:gridCol w:w="960"/>
        <w:gridCol w:w="960"/>
        <w:gridCol w:w="960"/>
      </w:tblGrid>
      <w:tr w:rsidR="00064F20" w:rsidRPr="00E4462A" w14:paraId="7704A0FA" w14:textId="77777777" w:rsidTr="00064F20">
        <w:trPr>
          <w:trHeight w:val="300"/>
        </w:trPr>
        <w:tc>
          <w:tcPr>
            <w:tcW w:w="5865" w:type="dxa"/>
            <w:noWrap/>
            <w:vAlign w:val="bottom"/>
            <w:hideMark/>
          </w:tcPr>
          <w:p w14:paraId="1BF3B027" w14:textId="3AAF824B" w:rsidR="00064F20" w:rsidRPr="00E4462A" w:rsidRDefault="00064F20" w:rsidP="00CD2547">
            <w:pPr>
              <w:spacing w:line="276" w:lineRule="auto"/>
              <w:ind w:right="-1175"/>
              <w:jc w:val="both"/>
              <w:rPr>
                <w:lang w:val="en-US"/>
              </w:rPr>
            </w:pPr>
            <w:r w:rsidRPr="00E4462A">
              <w:rPr>
                <w:lang w:val="en-US"/>
              </w:rPr>
              <w:t>TFl = total fluorescence (QSU)</w:t>
            </w:r>
          </w:p>
        </w:tc>
        <w:tc>
          <w:tcPr>
            <w:tcW w:w="999" w:type="dxa"/>
            <w:noWrap/>
            <w:vAlign w:val="bottom"/>
            <w:hideMark/>
          </w:tcPr>
          <w:p w14:paraId="6EB97F2A" w14:textId="77777777" w:rsidR="00064F20" w:rsidRPr="00E4462A" w:rsidRDefault="00064F20" w:rsidP="00CD2547">
            <w:pPr>
              <w:spacing w:line="276" w:lineRule="auto"/>
              <w:ind w:left="-31" w:hanging="31"/>
              <w:jc w:val="both"/>
              <w:rPr>
                <w:rFonts w:eastAsia="Calibri"/>
                <w:sz w:val="22"/>
                <w:szCs w:val="22"/>
                <w:lang w:val="en-US"/>
              </w:rPr>
            </w:pPr>
          </w:p>
        </w:tc>
        <w:tc>
          <w:tcPr>
            <w:tcW w:w="960" w:type="dxa"/>
            <w:noWrap/>
            <w:vAlign w:val="bottom"/>
            <w:hideMark/>
          </w:tcPr>
          <w:p w14:paraId="5D505489"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6DC7E35C"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286A273A"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0B6F97A4"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53193190"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088F49FE"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7C163F3B"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7C84AFD8"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095AE397"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7ED9BD8A"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0249655A"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54C1D7E1"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2B83B6B2" w14:textId="77777777" w:rsidR="00064F20" w:rsidRPr="00E4462A" w:rsidRDefault="00064F20" w:rsidP="00CD2547">
            <w:pPr>
              <w:spacing w:line="276" w:lineRule="auto"/>
              <w:jc w:val="both"/>
              <w:rPr>
                <w:rFonts w:eastAsia="Calibri"/>
                <w:sz w:val="22"/>
                <w:szCs w:val="22"/>
                <w:lang w:val="en-US"/>
              </w:rPr>
            </w:pPr>
          </w:p>
        </w:tc>
      </w:tr>
      <w:tr w:rsidR="00064F20" w:rsidRPr="00E4462A" w14:paraId="7FB64570" w14:textId="77777777" w:rsidTr="00B55AEE">
        <w:trPr>
          <w:trHeight w:val="300"/>
        </w:trPr>
        <w:tc>
          <w:tcPr>
            <w:tcW w:w="8784" w:type="dxa"/>
            <w:gridSpan w:val="4"/>
            <w:noWrap/>
            <w:vAlign w:val="bottom"/>
            <w:hideMark/>
          </w:tcPr>
          <w:p w14:paraId="07A0A09E" w14:textId="77777777" w:rsidR="00064F20" w:rsidRPr="00E4462A" w:rsidRDefault="00064F20" w:rsidP="00CD2547">
            <w:pPr>
              <w:spacing w:line="276" w:lineRule="auto"/>
              <w:jc w:val="both"/>
              <w:rPr>
                <w:lang w:val="en-US"/>
              </w:rPr>
            </w:pPr>
            <w:r w:rsidRPr="00E4462A">
              <w:rPr>
                <w:lang w:val="en-US"/>
              </w:rPr>
              <w:t>%CX = Relative abundance of PARAFAC component X</w:t>
            </w:r>
          </w:p>
        </w:tc>
        <w:tc>
          <w:tcPr>
            <w:tcW w:w="960" w:type="dxa"/>
            <w:noWrap/>
            <w:vAlign w:val="bottom"/>
            <w:hideMark/>
          </w:tcPr>
          <w:p w14:paraId="383E8260"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511C6076"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48AD6290"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3EAB0408"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41C678F4"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761AFE81"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04A2A137"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6E0F6251"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5F3BA520"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0E3AA574" w14:textId="77777777" w:rsidR="00064F20" w:rsidRPr="00E4462A" w:rsidRDefault="00064F20" w:rsidP="00CD2547">
            <w:pPr>
              <w:spacing w:line="276" w:lineRule="auto"/>
              <w:jc w:val="both"/>
              <w:rPr>
                <w:rFonts w:eastAsia="Calibri"/>
                <w:sz w:val="22"/>
                <w:szCs w:val="22"/>
                <w:lang w:val="en-US"/>
              </w:rPr>
            </w:pPr>
          </w:p>
        </w:tc>
        <w:tc>
          <w:tcPr>
            <w:tcW w:w="960" w:type="dxa"/>
            <w:noWrap/>
            <w:vAlign w:val="bottom"/>
            <w:hideMark/>
          </w:tcPr>
          <w:p w14:paraId="7AEA0B09" w14:textId="77777777" w:rsidR="00064F20" w:rsidRPr="00E4462A" w:rsidRDefault="00064F20" w:rsidP="00CD2547">
            <w:pPr>
              <w:spacing w:line="276" w:lineRule="auto"/>
              <w:jc w:val="both"/>
              <w:rPr>
                <w:rFonts w:eastAsia="Calibri"/>
                <w:sz w:val="22"/>
                <w:szCs w:val="22"/>
                <w:lang w:val="en-US"/>
              </w:rPr>
            </w:pPr>
          </w:p>
        </w:tc>
      </w:tr>
    </w:tbl>
    <w:p w14:paraId="0E92CC8E" w14:textId="77777777" w:rsidR="00064F20" w:rsidRPr="00E4462A" w:rsidRDefault="00064F20" w:rsidP="00B55AEE">
      <w:pPr>
        <w:ind w:left="90"/>
        <w:jc w:val="both"/>
        <w:rPr>
          <w:lang w:val="en-US"/>
        </w:rPr>
      </w:pPr>
      <w:r w:rsidRPr="00E4462A">
        <w:rPr>
          <w:lang w:val="en-US"/>
        </w:rPr>
        <w:t xml:space="preserve">L and S indicate Long or Short hydroperiod </w:t>
      </w:r>
    </w:p>
    <w:p w14:paraId="402C19BA" w14:textId="77777777" w:rsidR="00F554FA" w:rsidRPr="00E4462A" w:rsidRDefault="00F554FA" w:rsidP="008B22B1">
      <w:pPr>
        <w:spacing w:after="200" w:line="276" w:lineRule="auto"/>
        <w:jc w:val="both"/>
        <w:rPr>
          <w:sz w:val="20"/>
          <w:szCs w:val="20"/>
          <w:lang w:val="en-GB"/>
        </w:rPr>
      </w:pPr>
      <w:r w:rsidRPr="00E4462A">
        <w:rPr>
          <w:sz w:val="20"/>
          <w:szCs w:val="20"/>
          <w:lang w:val="en-GB"/>
        </w:rPr>
        <w:br w:type="page"/>
      </w:r>
    </w:p>
    <w:p w14:paraId="0482D241" w14:textId="77777777" w:rsidR="00E279E6" w:rsidRPr="00E4462A" w:rsidRDefault="00E279E6" w:rsidP="008B22B1">
      <w:pPr>
        <w:spacing w:line="360" w:lineRule="auto"/>
        <w:jc w:val="both"/>
        <w:rPr>
          <w:sz w:val="20"/>
          <w:szCs w:val="20"/>
          <w:lang w:val="en-GB"/>
        </w:rPr>
        <w:sectPr w:rsidR="00E279E6" w:rsidRPr="00E4462A" w:rsidSect="00B55AEE">
          <w:pgSz w:w="15840" w:h="12240" w:orient="landscape"/>
          <w:pgMar w:top="1440" w:right="1440" w:bottom="1440" w:left="1440" w:header="720" w:footer="720" w:gutter="0"/>
          <w:lnNumType w:countBy="1" w:restart="continuous"/>
          <w:cols w:space="720"/>
          <w:docGrid w:linePitch="360"/>
        </w:sectPr>
      </w:pPr>
    </w:p>
    <w:p w14:paraId="76E3D081" w14:textId="1F1F0801" w:rsidR="00043193" w:rsidRPr="00E4462A" w:rsidRDefault="00043193" w:rsidP="008B22B1">
      <w:pPr>
        <w:spacing w:line="360" w:lineRule="auto"/>
        <w:jc w:val="both"/>
        <w:rPr>
          <w:sz w:val="20"/>
          <w:szCs w:val="20"/>
          <w:lang w:val="en-GB"/>
        </w:rPr>
      </w:pP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34"/>
        <w:gridCol w:w="1417"/>
        <w:gridCol w:w="1134"/>
        <w:gridCol w:w="1134"/>
        <w:gridCol w:w="1134"/>
      </w:tblGrid>
      <w:tr w:rsidR="00043193" w:rsidRPr="00E4462A" w14:paraId="39EE9316" w14:textId="77777777" w:rsidTr="006208A1">
        <w:trPr>
          <w:trHeight w:val="360"/>
        </w:trPr>
        <w:tc>
          <w:tcPr>
            <w:tcW w:w="2376" w:type="dxa"/>
            <w:shd w:val="clear" w:color="auto" w:fill="auto"/>
            <w:noWrap/>
          </w:tcPr>
          <w:p w14:paraId="1CC2E033" w14:textId="77777777" w:rsidR="00043193" w:rsidRPr="00E4462A" w:rsidRDefault="00043193" w:rsidP="0099033B">
            <w:pPr>
              <w:spacing w:line="360" w:lineRule="auto"/>
              <w:jc w:val="center"/>
              <w:rPr>
                <w:b/>
                <w:bCs/>
                <w:sz w:val="20"/>
                <w:szCs w:val="20"/>
                <w:lang w:val="en-GB"/>
              </w:rPr>
            </w:pPr>
            <w:r w:rsidRPr="00E4462A">
              <w:rPr>
                <w:rFonts w:ascii="Symbol" w:hAnsi="Symbol"/>
                <w:b/>
                <w:bCs/>
                <w:sz w:val="20"/>
                <w:szCs w:val="20"/>
                <w:lang w:val="en-GB"/>
              </w:rPr>
              <w:t></w:t>
            </w:r>
            <w:r w:rsidRPr="00E4462A">
              <w:rPr>
                <w:b/>
                <w:bCs/>
                <w:sz w:val="20"/>
                <w:szCs w:val="20"/>
                <w:lang w:val="en-GB"/>
              </w:rPr>
              <w:t xml:space="preserve"> (</w:t>
            </w:r>
            <w:r w:rsidRPr="00E4462A">
              <w:rPr>
                <w:b/>
                <w:bCs/>
                <w:sz w:val="20"/>
                <w:szCs w:val="20"/>
                <w:vertAlign w:val="superscript"/>
                <w:lang w:val="en-GB"/>
              </w:rPr>
              <w:t>1</w:t>
            </w:r>
            <w:r w:rsidRPr="00E4462A">
              <w:rPr>
                <w:b/>
                <w:bCs/>
                <w:sz w:val="20"/>
                <w:szCs w:val="20"/>
                <w:lang w:val="en-GB"/>
              </w:rPr>
              <w:t>H) [ppm]</w:t>
            </w:r>
          </w:p>
        </w:tc>
        <w:tc>
          <w:tcPr>
            <w:tcW w:w="1134" w:type="dxa"/>
            <w:shd w:val="clear" w:color="auto" w:fill="auto"/>
            <w:noWrap/>
          </w:tcPr>
          <w:p w14:paraId="7B1FB766" w14:textId="07C33C3C" w:rsidR="00043193" w:rsidRPr="00E4462A" w:rsidRDefault="00043193" w:rsidP="00F56627">
            <w:pPr>
              <w:spacing w:line="360" w:lineRule="auto"/>
              <w:jc w:val="center"/>
              <w:rPr>
                <w:b/>
                <w:bCs/>
                <w:sz w:val="20"/>
                <w:szCs w:val="20"/>
                <w:lang w:val="en-GB"/>
              </w:rPr>
            </w:pPr>
            <w:r w:rsidRPr="00E4462A">
              <w:rPr>
                <w:b/>
                <w:bCs/>
                <w:sz w:val="20"/>
                <w:szCs w:val="20"/>
                <w:lang w:val="en-GB"/>
              </w:rPr>
              <w:t xml:space="preserve">10.0 </w:t>
            </w:r>
            <w:r w:rsidR="00F56627" w:rsidRPr="00E4462A">
              <w:rPr>
                <w:b/>
                <w:bCs/>
                <w:sz w:val="20"/>
                <w:szCs w:val="20"/>
                <w:lang w:val="en-GB"/>
              </w:rPr>
              <w:t>–</w:t>
            </w:r>
            <w:r w:rsidRPr="00E4462A">
              <w:rPr>
                <w:b/>
                <w:bCs/>
                <w:sz w:val="20"/>
                <w:szCs w:val="20"/>
                <w:lang w:val="en-GB"/>
              </w:rPr>
              <w:t xml:space="preserve"> </w:t>
            </w:r>
            <w:r w:rsidR="00F56627" w:rsidRPr="00E4462A">
              <w:rPr>
                <w:b/>
                <w:bCs/>
                <w:sz w:val="20"/>
                <w:szCs w:val="20"/>
                <w:lang w:val="en-GB"/>
              </w:rPr>
              <w:t>6.5</w:t>
            </w:r>
            <w:r w:rsidRPr="00E4462A">
              <w:rPr>
                <w:b/>
                <w:bCs/>
                <w:sz w:val="20"/>
                <w:szCs w:val="20"/>
                <w:lang w:val="en-GB"/>
              </w:rPr>
              <w:t>0</w:t>
            </w:r>
          </w:p>
        </w:tc>
        <w:tc>
          <w:tcPr>
            <w:tcW w:w="1417" w:type="dxa"/>
            <w:shd w:val="clear" w:color="auto" w:fill="auto"/>
            <w:noWrap/>
          </w:tcPr>
          <w:p w14:paraId="0ACBD113" w14:textId="67EA7255" w:rsidR="00043193" w:rsidRPr="00E4462A" w:rsidRDefault="00F56627" w:rsidP="00F56627">
            <w:pPr>
              <w:spacing w:line="360" w:lineRule="auto"/>
              <w:jc w:val="center"/>
              <w:rPr>
                <w:b/>
                <w:bCs/>
                <w:sz w:val="20"/>
                <w:szCs w:val="20"/>
                <w:lang w:val="en-GB"/>
              </w:rPr>
            </w:pPr>
            <w:r w:rsidRPr="00E4462A">
              <w:rPr>
                <w:b/>
                <w:bCs/>
                <w:sz w:val="20"/>
                <w:szCs w:val="20"/>
                <w:lang w:val="en-GB"/>
              </w:rPr>
              <w:t>6.5</w:t>
            </w:r>
            <w:r w:rsidR="00043193" w:rsidRPr="00E4462A">
              <w:rPr>
                <w:b/>
                <w:bCs/>
                <w:sz w:val="20"/>
                <w:szCs w:val="20"/>
                <w:lang w:val="en-GB"/>
              </w:rPr>
              <w:t xml:space="preserve"> - 5.3</w:t>
            </w:r>
          </w:p>
        </w:tc>
        <w:tc>
          <w:tcPr>
            <w:tcW w:w="1134" w:type="dxa"/>
            <w:shd w:val="clear" w:color="auto" w:fill="auto"/>
            <w:noWrap/>
          </w:tcPr>
          <w:p w14:paraId="482073AF" w14:textId="77777777" w:rsidR="00043193" w:rsidRPr="00E4462A" w:rsidRDefault="00043193" w:rsidP="0099033B">
            <w:pPr>
              <w:spacing w:line="360" w:lineRule="auto"/>
              <w:jc w:val="center"/>
              <w:rPr>
                <w:b/>
                <w:bCs/>
                <w:sz w:val="20"/>
                <w:szCs w:val="20"/>
              </w:rPr>
            </w:pPr>
            <w:r w:rsidRPr="00E4462A">
              <w:rPr>
                <w:b/>
                <w:bCs/>
                <w:sz w:val="20"/>
                <w:szCs w:val="20"/>
                <w:lang w:val="en-GB"/>
              </w:rPr>
              <w:t xml:space="preserve">4.9 </w:t>
            </w:r>
            <w:r w:rsidRPr="00E4462A">
              <w:rPr>
                <w:b/>
                <w:bCs/>
                <w:sz w:val="20"/>
                <w:szCs w:val="20"/>
              </w:rPr>
              <w:t>- 3.1</w:t>
            </w:r>
          </w:p>
        </w:tc>
        <w:tc>
          <w:tcPr>
            <w:tcW w:w="1134" w:type="dxa"/>
            <w:shd w:val="clear" w:color="auto" w:fill="auto"/>
            <w:noWrap/>
          </w:tcPr>
          <w:p w14:paraId="2002D9BE" w14:textId="77777777" w:rsidR="00043193" w:rsidRPr="00E4462A" w:rsidRDefault="00043193" w:rsidP="0099033B">
            <w:pPr>
              <w:spacing w:line="360" w:lineRule="auto"/>
              <w:jc w:val="center"/>
              <w:rPr>
                <w:b/>
                <w:bCs/>
                <w:sz w:val="20"/>
                <w:szCs w:val="20"/>
              </w:rPr>
            </w:pPr>
            <w:r w:rsidRPr="00E4462A">
              <w:rPr>
                <w:b/>
                <w:bCs/>
                <w:sz w:val="20"/>
                <w:szCs w:val="20"/>
              </w:rPr>
              <w:t>3.1 - 1.9</w:t>
            </w:r>
          </w:p>
        </w:tc>
        <w:tc>
          <w:tcPr>
            <w:tcW w:w="1134" w:type="dxa"/>
            <w:shd w:val="clear" w:color="auto" w:fill="auto"/>
            <w:noWrap/>
          </w:tcPr>
          <w:p w14:paraId="28680758" w14:textId="77777777" w:rsidR="00043193" w:rsidRPr="00E4462A" w:rsidRDefault="00043193" w:rsidP="0099033B">
            <w:pPr>
              <w:spacing w:line="360" w:lineRule="auto"/>
              <w:jc w:val="center"/>
              <w:rPr>
                <w:b/>
                <w:bCs/>
                <w:sz w:val="20"/>
                <w:szCs w:val="20"/>
              </w:rPr>
            </w:pPr>
            <w:r w:rsidRPr="00E4462A">
              <w:rPr>
                <w:b/>
                <w:bCs/>
                <w:sz w:val="20"/>
                <w:szCs w:val="20"/>
              </w:rPr>
              <w:t>1.9 - 0.0</w:t>
            </w:r>
          </w:p>
        </w:tc>
      </w:tr>
      <w:tr w:rsidR="00043193" w:rsidRPr="00E4462A" w14:paraId="0A85BA29" w14:textId="77777777" w:rsidTr="006208A1">
        <w:trPr>
          <w:trHeight w:val="360"/>
        </w:trPr>
        <w:tc>
          <w:tcPr>
            <w:tcW w:w="2376" w:type="dxa"/>
            <w:shd w:val="clear" w:color="auto" w:fill="auto"/>
            <w:noWrap/>
          </w:tcPr>
          <w:p w14:paraId="108D7DD9" w14:textId="77777777" w:rsidR="00043193" w:rsidRPr="00E4462A" w:rsidRDefault="00043193" w:rsidP="0099033B">
            <w:pPr>
              <w:spacing w:line="360" w:lineRule="auto"/>
              <w:jc w:val="center"/>
              <w:rPr>
                <w:sz w:val="20"/>
                <w:szCs w:val="20"/>
              </w:rPr>
            </w:pPr>
            <w:r w:rsidRPr="00E4462A">
              <w:rPr>
                <w:sz w:val="20"/>
                <w:szCs w:val="20"/>
                <w:lang w:val="en-GB"/>
              </w:rPr>
              <w:t>key substructures</w:t>
            </w:r>
          </w:p>
        </w:tc>
        <w:tc>
          <w:tcPr>
            <w:tcW w:w="1134" w:type="dxa"/>
            <w:shd w:val="clear" w:color="auto" w:fill="auto"/>
            <w:noWrap/>
          </w:tcPr>
          <w:p w14:paraId="1F21B2EB" w14:textId="77777777" w:rsidR="00043193" w:rsidRPr="00E4462A" w:rsidRDefault="00043193" w:rsidP="0099033B">
            <w:pPr>
              <w:spacing w:line="360" w:lineRule="auto"/>
              <w:jc w:val="center"/>
              <w:rPr>
                <w:sz w:val="20"/>
                <w:szCs w:val="20"/>
              </w:rPr>
            </w:pPr>
            <w:r w:rsidRPr="00E4462A">
              <w:rPr>
                <w:b/>
                <w:sz w:val="20"/>
                <w:szCs w:val="20"/>
                <w:u w:val="single"/>
              </w:rPr>
              <w:t>H</w:t>
            </w:r>
            <w:r w:rsidRPr="00E4462A">
              <w:rPr>
                <w:sz w:val="20"/>
                <w:szCs w:val="20"/>
                <w:vertAlign w:val="subscript"/>
              </w:rPr>
              <w:t>ar</w:t>
            </w:r>
          </w:p>
        </w:tc>
        <w:tc>
          <w:tcPr>
            <w:tcW w:w="1417" w:type="dxa"/>
            <w:shd w:val="clear" w:color="auto" w:fill="auto"/>
            <w:noWrap/>
          </w:tcPr>
          <w:p w14:paraId="6AD9A6FA" w14:textId="77777777" w:rsidR="00043193" w:rsidRPr="00E4462A" w:rsidRDefault="00043193" w:rsidP="0099033B">
            <w:pPr>
              <w:spacing w:line="360" w:lineRule="auto"/>
              <w:jc w:val="center"/>
              <w:rPr>
                <w:sz w:val="20"/>
                <w:szCs w:val="20"/>
              </w:rPr>
            </w:pPr>
            <w:r w:rsidRPr="00E4462A">
              <w:rPr>
                <w:sz w:val="20"/>
                <w:szCs w:val="20"/>
              </w:rPr>
              <w:t>C=C</w:t>
            </w:r>
            <w:r w:rsidRPr="00E4462A">
              <w:rPr>
                <w:b/>
                <w:sz w:val="20"/>
                <w:szCs w:val="20"/>
                <w:u w:val="single"/>
              </w:rPr>
              <w:t>H</w:t>
            </w:r>
            <w:r w:rsidRPr="00E4462A">
              <w:rPr>
                <w:sz w:val="20"/>
                <w:szCs w:val="20"/>
              </w:rPr>
              <w:t>, O</w:t>
            </w:r>
            <w:r w:rsidRPr="00E4462A">
              <w:rPr>
                <w:sz w:val="20"/>
                <w:szCs w:val="20"/>
                <w:vertAlign w:val="subscript"/>
              </w:rPr>
              <w:t>2</w:t>
            </w:r>
            <w:r w:rsidRPr="00E4462A">
              <w:rPr>
                <w:sz w:val="20"/>
                <w:szCs w:val="20"/>
              </w:rPr>
              <w:t>C</w:t>
            </w:r>
            <w:r w:rsidRPr="00E4462A">
              <w:rPr>
                <w:b/>
                <w:sz w:val="20"/>
                <w:szCs w:val="20"/>
                <w:u w:val="single"/>
              </w:rPr>
              <w:t>H</w:t>
            </w:r>
          </w:p>
        </w:tc>
        <w:tc>
          <w:tcPr>
            <w:tcW w:w="1134" w:type="dxa"/>
            <w:shd w:val="clear" w:color="auto" w:fill="auto"/>
            <w:noWrap/>
          </w:tcPr>
          <w:p w14:paraId="3AE7BB35" w14:textId="77777777" w:rsidR="00043193" w:rsidRPr="00E4462A" w:rsidRDefault="00043193" w:rsidP="0099033B">
            <w:pPr>
              <w:spacing w:line="360" w:lineRule="auto"/>
              <w:jc w:val="center"/>
              <w:rPr>
                <w:sz w:val="20"/>
                <w:szCs w:val="20"/>
              </w:rPr>
            </w:pPr>
            <w:r w:rsidRPr="00E4462A">
              <w:rPr>
                <w:sz w:val="20"/>
                <w:szCs w:val="20"/>
              </w:rPr>
              <w:t>OC</w:t>
            </w:r>
            <w:r w:rsidRPr="00E4462A">
              <w:rPr>
                <w:b/>
                <w:sz w:val="20"/>
                <w:szCs w:val="20"/>
                <w:u w:val="single"/>
              </w:rPr>
              <w:t>H</w:t>
            </w:r>
          </w:p>
        </w:tc>
        <w:tc>
          <w:tcPr>
            <w:tcW w:w="1134" w:type="dxa"/>
            <w:shd w:val="clear" w:color="auto" w:fill="auto"/>
            <w:noWrap/>
          </w:tcPr>
          <w:p w14:paraId="6705B9CB" w14:textId="77777777" w:rsidR="00043193" w:rsidRPr="00E4462A" w:rsidRDefault="00043193" w:rsidP="0099033B">
            <w:pPr>
              <w:spacing w:line="360" w:lineRule="auto"/>
              <w:jc w:val="center"/>
              <w:rPr>
                <w:sz w:val="20"/>
                <w:szCs w:val="20"/>
              </w:rPr>
            </w:pPr>
            <w:r w:rsidRPr="00E4462A">
              <w:rPr>
                <w:sz w:val="20"/>
                <w:szCs w:val="20"/>
              </w:rPr>
              <w:t>XCC</w:t>
            </w:r>
            <w:r w:rsidRPr="00E4462A">
              <w:rPr>
                <w:b/>
                <w:sz w:val="20"/>
                <w:szCs w:val="20"/>
                <w:u w:val="single"/>
              </w:rPr>
              <w:t>H</w:t>
            </w:r>
          </w:p>
        </w:tc>
        <w:tc>
          <w:tcPr>
            <w:tcW w:w="1134" w:type="dxa"/>
            <w:shd w:val="clear" w:color="auto" w:fill="auto"/>
            <w:noWrap/>
          </w:tcPr>
          <w:p w14:paraId="61B57CE8" w14:textId="77777777" w:rsidR="00043193" w:rsidRPr="00E4462A" w:rsidRDefault="00043193" w:rsidP="0099033B">
            <w:pPr>
              <w:spacing w:line="360" w:lineRule="auto"/>
              <w:jc w:val="center"/>
              <w:rPr>
                <w:sz w:val="20"/>
                <w:szCs w:val="20"/>
              </w:rPr>
            </w:pPr>
            <w:r w:rsidRPr="00E4462A">
              <w:rPr>
                <w:sz w:val="20"/>
                <w:szCs w:val="20"/>
              </w:rPr>
              <w:t>CCC</w:t>
            </w:r>
            <w:r w:rsidRPr="00E4462A">
              <w:rPr>
                <w:b/>
                <w:sz w:val="20"/>
                <w:szCs w:val="20"/>
                <w:u w:val="single"/>
              </w:rPr>
              <w:t>H</w:t>
            </w:r>
          </w:p>
        </w:tc>
      </w:tr>
      <w:tr w:rsidR="00043193" w:rsidRPr="00E4462A" w14:paraId="4299E0E6" w14:textId="77777777" w:rsidTr="006208A1">
        <w:trPr>
          <w:trHeight w:val="360"/>
        </w:trPr>
        <w:tc>
          <w:tcPr>
            <w:tcW w:w="2376" w:type="dxa"/>
            <w:shd w:val="clear" w:color="auto" w:fill="auto"/>
            <w:noWrap/>
          </w:tcPr>
          <w:p w14:paraId="47435D42" w14:textId="77777777" w:rsidR="00043193" w:rsidRPr="00E4462A" w:rsidRDefault="00043193" w:rsidP="0099033B">
            <w:pPr>
              <w:spacing w:line="360" w:lineRule="auto"/>
              <w:jc w:val="center"/>
              <w:rPr>
                <w:sz w:val="20"/>
                <w:szCs w:val="20"/>
              </w:rPr>
            </w:pPr>
            <w:r w:rsidRPr="00E4462A">
              <w:rPr>
                <w:sz w:val="20"/>
                <w:szCs w:val="20"/>
              </w:rPr>
              <w:t>OKA-L</w:t>
            </w:r>
          </w:p>
        </w:tc>
        <w:tc>
          <w:tcPr>
            <w:tcW w:w="1134" w:type="dxa"/>
            <w:shd w:val="clear" w:color="auto" w:fill="auto"/>
            <w:noWrap/>
          </w:tcPr>
          <w:p w14:paraId="7E5D86D0" w14:textId="28310AFC" w:rsidR="00043193" w:rsidRPr="00E4462A" w:rsidRDefault="00F56627" w:rsidP="00F56627">
            <w:pPr>
              <w:spacing w:line="360" w:lineRule="auto"/>
              <w:jc w:val="center"/>
              <w:rPr>
                <w:sz w:val="20"/>
                <w:szCs w:val="20"/>
              </w:rPr>
            </w:pPr>
            <w:r w:rsidRPr="00E4462A">
              <w:rPr>
                <w:sz w:val="20"/>
                <w:szCs w:val="20"/>
              </w:rPr>
              <w:t>7.2</w:t>
            </w:r>
          </w:p>
        </w:tc>
        <w:tc>
          <w:tcPr>
            <w:tcW w:w="1417" w:type="dxa"/>
            <w:shd w:val="clear" w:color="auto" w:fill="auto"/>
            <w:noWrap/>
          </w:tcPr>
          <w:p w14:paraId="6509D198" w14:textId="7C7F32CB" w:rsidR="00043193" w:rsidRPr="00E4462A" w:rsidRDefault="00F56627" w:rsidP="00F56627">
            <w:pPr>
              <w:spacing w:line="360" w:lineRule="auto"/>
              <w:jc w:val="center"/>
              <w:rPr>
                <w:sz w:val="20"/>
                <w:szCs w:val="20"/>
              </w:rPr>
            </w:pPr>
            <w:r w:rsidRPr="00E4462A">
              <w:rPr>
                <w:sz w:val="20"/>
                <w:szCs w:val="20"/>
              </w:rPr>
              <w:t>3.0</w:t>
            </w:r>
          </w:p>
        </w:tc>
        <w:tc>
          <w:tcPr>
            <w:tcW w:w="1134" w:type="dxa"/>
            <w:shd w:val="clear" w:color="auto" w:fill="auto"/>
            <w:noWrap/>
          </w:tcPr>
          <w:p w14:paraId="44BAB41F" w14:textId="36CCA05D" w:rsidR="00043193" w:rsidRPr="00E4462A" w:rsidRDefault="00F56627" w:rsidP="00F56627">
            <w:pPr>
              <w:spacing w:line="360" w:lineRule="auto"/>
              <w:jc w:val="center"/>
              <w:rPr>
                <w:sz w:val="20"/>
                <w:szCs w:val="20"/>
              </w:rPr>
            </w:pPr>
            <w:r w:rsidRPr="00E4462A">
              <w:rPr>
                <w:sz w:val="20"/>
                <w:szCs w:val="20"/>
              </w:rPr>
              <w:t>29.6</w:t>
            </w:r>
          </w:p>
        </w:tc>
        <w:tc>
          <w:tcPr>
            <w:tcW w:w="1134" w:type="dxa"/>
            <w:shd w:val="clear" w:color="auto" w:fill="auto"/>
            <w:noWrap/>
          </w:tcPr>
          <w:p w14:paraId="499CE56C" w14:textId="77777777" w:rsidR="00043193" w:rsidRPr="00E4462A" w:rsidRDefault="00043193" w:rsidP="0099033B">
            <w:pPr>
              <w:spacing w:line="360" w:lineRule="auto"/>
              <w:jc w:val="center"/>
              <w:rPr>
                <w:sz w:val="20"/>
                <w:szCs w:val="20"/>
              </w:rPr>
            </w:pPr>
            <w:r w:rsidRPr="00E4462A">
              <w:rPr>
                <w:sz w:val="20"/>
                <w:szCs w:val="20"/>
              </w:rPr>
              <w:t>26.9</w:t>
            </w:r>
          </w:p>
        </w:tc>
        <w:tc>
          <w:tcPr>
            <w:tcW w:w="1134" w:type="dxa"/>
            <w:shd w:val="clear" w:color="auto" w:fill="auto"/>
            <w:noWrap/>
          </w:tcPr>
          <w:p w14:paraId="231A4A1C" w14:textId="6330EB1F" w:rsidR="00043193" w:rsidRPr="00E4462A" w:rsidRDefault="00043193" w:rsidP="00F56627">
            <w:pPr>
              <w:spacing w:line="360" w:lineRule="auto"/>
              <w:jc w:val="center"/>
              <w:rPr>
                <w:sz w:val="20"/>
                <w:szCs w:val="20"/>
              </w:rPr>
            </w:pPr>
            <w:r w:rsidRPr="00E4462A">
              <w:rPr>
                <w:sz w:val="20"/>
                <w:szCs w:val="20"/>
              </w:rPr>
              <w:t>33.</w:t>
            </w:r>
            <w:r w:rsidR="00F56627" w:rsidRPr="00E4462A">
              <w:rPr>
                <w:sz w:val="20"/>
                <w:szCs w:val="20"/>
              </w:rPr>
              <w:t>4</w:t>
            </w:r>
          </w:p>
        </w:tc>
      </w:tr>
      <w:tr w:rsidR="00043193" w:rsidRPr="00E4462A" w14:paraId="7DCF4AFA" w14:textId="77777777" w:rsidTr="006208A1">
        <w:trPr>
          <w:trHeight w:val="360"/>
        </w:trPr>
        <w:tc>
          <w:tcPr>
            <w:tcW w:w="2376" w:type="dxa"/>
            <w:shd w:val="clear" w:color="auto" w:fill="auto"/>
            <w:noWrap/>
          </w:tcPr>
          <w:p w14:paraId="2455B165" w14:textId="77777777" w:rsidR="00043193" w:rsidRPr="00E4462A" w:rsidRDefault="00043193" w:rsidP="0099033B">
            <w:pPr>
              <w:spacing w:line="360" w:lineRule="auto"/>
              <w:jc w:val="center"/>
              <w:rPr>
                <w:sz w:val="20"/>
                <w:szCs w:val="20"/>
              </w:rPr>
            </w:pPr>
            <w:r w:rsidRPr="00E4462A">
              <w:rPr>
                <w:sz w:val="20"/>
                <w:szCs w:val="20"/>
              </w:rPr>
              <w:t>OKA-S</w:t>
            </w:r>
          </w:p>
        </w:tc>
        <w:tc>
          <w:tcPr>
            <w:tcW w:w="1134" w:type="dxa"/>
            <w:shd w:val="clear" w:color="auto" w:fill="auto"/>
            <w:noWrap/>
          </w:tcPr>
          <w:p w14:paraId="0683415E" w14:textId="66B8EE35" w:rsidR="00043193" w:rsidRPr="00E4462A" w:rsidRDefault="00F56627" w:rsidP="00F56627">
            <w:pPr>
              <w:spacing w:line="360" w:lineRule="auto"/>
              <w:jc w:val="center"/>
              <w:rPr>
                <w:sz w:val="20"/>
                <w:szCs w:val="20"/>
              </w:rPr>
            </w:pPr>
            <w:r w:rsidRPr="00E4462A">
              <w:rPr>
                <w:sz w:val="20"/>
                <w:szCs w:val="20"/>
              </w:rPr>
              <w:t>7.2</w:t>
            </w:r>
          </w:p>
        </w:tc>
        <w:tc>
          <w:tcPr>
            <w:tcW w:w="1417" w:type="dxa"/>
            <w:shd w:val="clear" w:color="auto" w:fill="auto"/>
            <w:noWrap/>
          </w:tcPr>
          <w:p w14:paraId="746F662C" w14:textId="5F97614F" w:rsidR="00043193" w:rsidRPr="00E4462A" w:rsidRDefault="00F56627" w:rsidP="00F56627">
            <w:pPr>
              <w:spacing w:line="360" w:lineRule="auto"/>
              <w:jc w:val="center"/>
              <w:rPr>
                <w:sz w:val="20"/>
                <w:szCs w:val="20"/>
              </w:rPr>
            </w:pPr>
            <w:r w:rsidRPr="00E4462A">
              <w:rPr>
                <w:sz w:val="20"/>
                <w:szCs w:val="20"/>
              </w:rPr>
              <w:t>3.0</w:t>
            </w:r>
          </w:p>
        </w:tc>
        <w:tc>
          <w:tcPr>
            <w:tcW w:w="1134" w:type="dxa"/>
            <w:shd w:val="clear" w:color="auto" w:fill="auto"/>
            <w:noWrap/>
          </w:tcPr>
          <w:p w14:paraId="70AF9A92" w14:textId="4D7D0FC8" w:rsidR="00043193" w:rsidRPr="00E4462A" w:rsidRDefault="00043193" w:rsidP="00F56627">
            <w:pPr>
              <w:spacing w:line="360" w:lineRule="auto"/>
              <w:jc w:val="center"/>
              <w:rPr>
                <w:sz w:val="20"/>
                <w:szCs w:val="20"/>
              </w:rPr>
            </w:pPr>
            <w:r w:rsidRPr="00E4462A">
              <w:rPr>
                <w:sz w:val="20"/>
                <w:szCs w:val="20"/>
              </w:rPr>
              <w:t>3</w:t>
            </w:r>
            <w:r w:rsidR="00F56627" w:rsidRPr="00E4462A">
              <w:rPr>
                <w:sz w:val="20"/>
                <w:szCs w:val="20"/>
              </w:rPr>
              <w:t>1.0</w:t>
            </w:r>
          </w:p>
        </w:tc>
        <w:tc>
          <w:tcPr>
            <w:tcW w:w="1134" w:type="dxa"/>
            <w:shd w:val="clear" w:color="auto" w:fill="auto"/>
            <w:noWrap/>
          </w:tcPr>
          <w:p w14:paraId="1BC9C528" w14:textId="77777777" w:rsidR="00043193" w:rsidRPr="00E4462A" w:rsidRDefault="00043193" w:rsidP="0099033B">
            <w:pPr>
              <w:spacing w:line="360" w:lineRule="auto"/>
              <w:jc w:val="center"/>
              <w:rPr>
                <w:sz w:val="20"/>
                <w:szCs w:val="20"/>
              </w:rPr>
            </w:pPr>
            <w:r w:rsidRPr="00E4462A">
              <w:rPr>
                <w:sz w:val="20"/>
                <w:szCs w:val="20"/>
              </w:rPr>
              <w:t>26.5</w:t>
            </w:r>
          </w:p>
        </w:tc>
        <w:tc>
          <w:tcPr>
            <w:tcW w:w="1134" w:type="dxa"/>
            <w:shd w:val="clear" w:color="auto" w:fill="auto"/>
            <w:noWrap/>
          </w:tcPr>
          <w:p w14:paraId="269D5B96" w14:textId="51D33DB4" w:rsidR="00043193" w:rsidRPr="00E4462A" w:rsidRDefault="00043193" w:rsidP="0099033B">
            <w:pPr>
              <w:spacing w:line="360" w:lineRule="auto"/>
              <w:jc w:val="center"/>
              <w:rPr>
                <w:sz w:val="20"/>
                <w:szCs w:val="20"/>
              </w:rPr>
            </w:pPr>
            <w:r w:rsidRPr="00E4462A">
              <w:rPr>
                <w:sz w:val="20"/>
                <w:szCs w:val="20"/>
              </w:rPr>
              <w:t>32.</w:t>
            </w:r>
            <w:r w:rsidR="00F56627" w:rsidRPr="00E4462A">
              <w:rPr>
                <w:sz w:val="20"/>
                <w:szCs w:val="20"/>
              </w:rPr>
              <w:t>3</w:t>
            </w:r>
          </w:p>
        </w:tc>
      </w:tr>
      <w:tr w:rsidR="00043193" w:rsidRPr="00E4462A" w14:paraId="217CCF0D" w14:textId="77777777" w:rsidTr="006208A1">
        <w:trPr>
          <w:trHeight w:val="360"/>
        </w:trPr>
        <w:tc>
          <w:tcPr>
            <w:tcW w:w="2376" w:type="dxa"/>
            <w:shd w:val="clear" w:color="auto" w:fill="auto"/>
            <w:noWrap/>
          </w:tcPr>
          <w:p w14:paraId="147C4F96" w14:textId="77777777" w:rsidR="00043193" w:rsidRPr="00E4462A" w:rsidRDefault="00043193" w:rsidP="0099033B">
            <w:pPr>
              <w:spacing w:line="360" w:lineRule="auto"/>
              <w:jc w:val="center"/>
              <w:rPr>
                <w:sz w:val="20"/>
                <w:szCs w:val="20"/>
              </w:rPr>
            </w:pPr>
            <w:r w:rsidRPr="00E4462A">
              <w:rPr>
                <w:sz w:val="20"/>
                <w:szCs w:val="20"/>
              </w:rPr>
              <w:t>PAN-L</w:t>
            </w:r>
          </w:p>
        </w:tc>
        <w:tc>
          <w:tcPr>
            <w:tcW w:w="1134" w:type="dxa"/>
            <w:shd w:val="clear" w:color="auto" w:fill="auto"/>
            <w:noWrap/>
          </w:tcPr>
          <w:p w14:paraId="0005DD3A" w14:textId="2FF2F842" w:rsidR="00043193" w:rsidRPr="00E4462A" w:rsidRDefault="00F56627" w:rsidP="00F56627">
            <w:pPr>
              <w:spacing w:line="360" w:lineRule="auto"/>
              <w:jc w:val="center"/>
              <w:rPr>
                <w:sz w:val="20"/>
                <w:szCs w:val="20"/>
              </w:rPr>
            </w:pPr>
            <w:r w:rsidRPr="00E4462A">
              <w:rPr>
                <w:sz w:val="20"/>
                <w:szCs w:val="20"/>
              </w:rPr>
              <w:t>7.5</w:t>
            </w:r>
          </w:p>
        </w:tc>
        <w:tc>
          <w:tcPr>
            <w:tcW w:w="1417" w:type="dxa"/>
            <w:shd w:val="clear" w:color="auto" w:fill="auto"/>
            <w:noWrap/>
          </w:tcPr>
          <w:p w14:paraId="7C04A23B" w14:textId="172ADBF6" w:rsidR="00043193" w:rsidRPr="00E4462A" w:rsidRDefault="00F56627" w:rsidP="00F56627">
            <w:pPr>
              <w:spacing w:line="360" w:lineRule="auto"/>
              <w:jc w:val="center"/>
              <w:rPr>
                <w:sz w:val="20"/>
                <w:szCs w:val="20"/>
              </w:rPr>
            </w:pPr>
            <w:r w:rsidRPr="00E4462A">
              <w:rPr>
                <w:sz w:val="20"/>
                <w:szCs w:val="20"/>
              </w:rPr>
              <w:t>2.9</w:t>
            </w:r>
          </w:p>
        </w:tc>
        <w:tc>
          <w:tcPr>
            <w:tcW w:w="1134" w:type="dxa"/>
            <w:shd w:val="clear" w:color="auto" w:fill="auto"/>
            <w:noWrap/>
          </w:tcPr>
          <w:p w14:paraId="58D0990F" w14:textId="624539FE" w:rsidR="00043193" w:rsidRPr="00E4462A" w:rsidRDefault="00043193" w:rsidP="00F56627">
            <w:pPr>
              <w:spacing w:line="360" w:lineRule="auto"/>
              <w:jc w:val="center"/>
              <w:rPr>
                <w:sz w:val="20"/>
                <w:szCs w:val="20"/>
              </w:rPr>
            </w:pPr>
            <w:r w:rsidRPr="00E4462A">
              <w:rPr>
                <w:sz w:val="20"/>
                <w:szCs w:val="20"/>
              </w:rPr>
              <w:t>2</w:t>
            </w:r>
            <w:r w:rsidR="00F56627" w:rsidRPr="00E4462A">
              <w:rPr>
                <w:sz w:val="20"/>
                <w:szCs w:val="20"/>
              </w:rPr>
              <w:t>8.1</w:t>
            </w:r>
          </w:p>
        </w:tc>
        <w:tc>
          <w:tcPr>
            <w:tcW w:w="1134" w:type="dxa"/>
            <w:shd w:val="clear" w:color="auto" w:fill="auto"/>
            <w:noWrap/>
          </w:tcPr>
          <w:p w14:paraId="558CC42B" w14:textId="14CEA602" w:rsidR="00043193" w:rsidRPr="00E4462A" w:rsidRDefault="00043193" w:rsidP="00F56627">
            <w:pPr>
              <w:spacing w:line="360" w:lineRule="auto"/>
              <w:jc w:val="center"/>
              <w:rPr>
                <w:sz w:val="20"/>
                <w:szCs w:val="20"/>
              </w:rPr>
            </w:pPr>
            <w:r w:rsidRPr="00E4462A">
              <w:rPr>
                <w:sz w:val="20"/>
                <w:szCs w:val="20"/>
              </w:rPr>
              <w:t>28.</w:t>
            </w:r>
            <w:r w:rsidR="00F56627" w:rsidRPr="00E4462A">
              <w:rPr>
                <w:sz w:val="20"/>
                <w:szCs w:val="20"/>
              </w:rPr>
              <w:t>5</w:t>
            </w:r>
          </w:p>
        </w:tc>
        <w:tc>
          <w:tcPr>
            <w:tcW w:w="1134" w:type="dxa"/>
            <w:shd w:val="clear" w:color="auto" w:fill="auto"/>
            <w:noWrap/>
          </w:tcPr>
          <w:p w14:paraId="144E78CB" w14:textId="56C3614F" w:rsidR="00043193" w:rsidRPr="00E4462A" w:rsidRDefault="00043193" w:rsidP="00F56627">
            <w:pPr>
              <w:spacing w:line="360" w:lineRule="auto"/>
              <w:jc w:val="center"/>
              <w:rPr>
                <w:sz w:val="20"/>
                <w:szCs w:val="20"/>
              </w:rPr>
            </w:pPr>
            <w:r w:rsidRPr="00E4462A">
              <w:rPr>
                <w:sz w:val="20"/>
                <w:szCs w:val="20"/>
              </w:rPr>
              <w:t>33.</w:t>
            </w:r>
            <w:r w:rsidR="00F56627" w:rsidRPr="00E4462A">
              <w:rPr>
                <w:sz w:val="20"/>
                <w:szCs w:val="20"/>
              </w:rPr>
              <w:t>1</w:t>
            </w:r>
          </w:p>
        </w:tc>
      </w:tr>
      <w:tr w:rsidR="00043193" w:rsidRPr="00E4462A" w14:paraId="41911F67" w14:textId="77777777" w:rsidTr="006208A1">
        <w:trPr>
          <w:trHeight w:val="360"/>
        </w:trPr>
        <w:tc>
          <w:tcPr>
            <w:tcW w:w="2376" w:type="dxa"/>
            <w:shd w:val="clear" w:color="auto" w:fill="auto"/>
            <w:noWrap/>
          </w:tcPr>
          <w:p w14:paraId="4C1FEE41" w14:textId="77777777" w:rsidR="00043193" w:rsidRPr="00E4462A" w:rsidRDefault="00043193" w:rsidP="0099033B">
            <w:pPr>
              <w:spacing w:line="360" w:lineRule="auto"/>
              <w:jc w:val="center"/>
              <w:rPr>
                <w:sz w:val="20"/>
                <w:szCs w:val="20"/>
              </w:rPr>
            </w:pPr>
            <w:r w:rsidRPr="00E4462A">
              <w:rPr>
                <w:sz w:val="20"/>
                <w:szCs w:val="20"/>
              </w:rPr>
              <w:t>PAN-S</w:t>
            </w:r>
          </w:p>
        </w:tc>
        <w:tc>
          <w:tcPr>
            <w:tcW w:w="1134" w:type="dxa"/>
            <w:shd w:val="clear" w:color="auto" w:fill="auto"/>
            <w:noWrap/>
          </w:tcPr>
          <w:p w14:paraId="000406DD" w14:textId="2078F196" w:rsidR="00043193" w:rsidRPr="00E4462A" w:rsidRDefault="00F56627" w:rsidP="00F56627">
            <w:pPr>
              <w:spacing w:line="360" w:lineRule="auto"/>
              <w:jc w:val="center"/>
              <w:rPr>
                <w:sz w:val="20"/>
                <w:szCs w:val="20"/>
              </w:rPr>
            </w:pPr>
            <w:r w:rsidRPr="00E4462A">
              <w:rPr>
                <w:sz w:val="20"/>
                <w:szCs w:val="20"/>
              </w:rPr>
              <w:t>7.2</w:t>
            </w:r>
          </w:p>
        </w:tc>
        <w:tc>
          <w:tcPr>
            <w:tcW w:w="1417" w:type="dxa"/>
            <w:shd w:val="clear" w:color="auto" w:fill="auto"/>
            <w:noWrap/>
          </w:tcPr>
          <w:p w14:paraId="3587F832" w14:textId="5AD8D1D2" w:rsidR="00043193" w:rsidRPr="00E4462A" w:rsidRDefault="00F56627" w:rsidP="00F56627">
            <w:pPr>
              <w:spacing w:line="360" w:lineRule="auto"/>
              <w:jc w:val="center"/>
              <w:rPr>
                <w:sz w:val="20"/>
                <w:szCs w:val="20"/>
              </w:rPr>
            </w:pPr>
            <w:r w:rsidRPr="00E4462A">
              <w:rPr>
                <w:sz w:val="20"/>
                <w:szCs w:val="20"/>
              </w:rPr>
              <w:t>2.7</w:t>
            </w:r>
          </w:p>
        </w:tc>
        <w:tc>
          <w:tcPr>
            <w:tcW w:w="1134" w:type="dxa"/>
            <w:shd w:val="clear" w:color="auto" w:fill="auto"/>
            <w:noWrap/>
          </w:tcPr>
          <w:p w14:paraId="3C495A93" w14:textId="4AF64652" w:rsidR="00043193" w:rsidRPr="00E4462A" w:rsidRDefault="00F56627" w:rsidP="00F56627">
            <w:pPr>
              <w:spacing w:line="360" w:lineRule="auto"/>
              <w:jc w:val="center"/>
              <w:rPr>
                <w:sz w:val="20"/>
                <w:szCs w:val="20"/>
              </w:rPr>
            </w:pPr>
            <w:r w:rsidRPr="00E4462A">
              <w:rPr>
                <w:sz w:val="20"/>
                <w:szCs w:val="20"/>
              </w:rPr>
              <w:t>29.7</w:t>
            </w:r>
          </w:p>
        </w:tc>
        <w:tc>
          <w:tcPr>
            <w:tcW w:w="1134" w:type="dxa"/>
            <w:shd w:val="clear" w:color="auto" w:fill="auto"/>
            <w:noWrap/>
          </w:tcPr>
          <w:p w14:paraId="65249AE2" w14:textId="64F49A3E" w:rsidR="00043193" w:rsidRPr="00E4462A" w:rsidRDefault="00043193" w:rsidP="00F56627">
            <w:pPr>
              <w:spacing w:line="360" w:lineRule="auto"/>
              <w:jc w:val="center"/>
              <w:rPr>
                <w:sz w:val="20"/>
                <w:szCs w:val="20"/>
              </w:rPr>
            </w:pPr>
            <w:r w:rsidRPr="00E4462A">
              <w:rPr>
                <w:sz w:val="20"/>
                <w:szCs w:val="20"/>
              </w:rPr>
              <w:t>27.</w:t>
            </w:r>
            <w:r w:rsidR="00F56627" w:rsidRPr="00E4462A">
              <w:rPr>
                <w:sz w:val="20"/>
                <w:szCs w:val="20"/>
              </w:rPr>
              <w:t>9</w:t>
            </w:r>
          </w:p>
        </w:tc>
        <w:tc>
          <w:tcPr>
            <w:tcW w:w="1134" w:type="dxa"/>
            <w:shd w:val="clear" w:color="auto" w:fill="auto"/>
            <w:noWrap/>
          </w:tcPr>
          <w:p w14:paraId="4856B601" w14:textId="77777777" w:rsidR="00043193" w:rsidRPr="00E4462A" w:rsidRDefault="00043193" w:rsidP="0099033B">
            <w:pPr>
              <w:spacing w:line="360" w:lineRule="auto"/>
              <w:jc w:val="center"/>
              <w:rPr>
                <w:sz w:val="20"/>
                <w:szCs w:val="20"/>
              </w:rPr>
            </w:pPr>
            <w:r w:rsidRPr="00E4462A">
              <w:rPr>
                <w:sz w:val="20"/>
                <w:szCs w:val="20"/>
              </w:rPr>
              <w:t>32.4</w:t>
            </w:r>
          </w:p>
        </w:tc>
      </w:tr>
      <w:tr w:rsidR="00043193" w:rsidRPr="00E4462A" w14:paraId="28C559D0" w14:textId="77777777" w:rsidTr="006208A1">
        <w:trPr>
          <w:trHeight w:val="360"/>
        </w:trPr>
        <w:tc>
          <w:tcPr>
            <w:tcW w:w="2376" w:type="dxa"/>
            <w:shd w:val="clear" w:color="auto" w:fill="auto"/>
            <w:noWrap/>
          </w:tcPr>
          <w:p w14:paraId="776E807D" w14:textId="77777777" w:rsidR="00043193" w:rsidRPr="00E4462A" w:rsidRDefault="00043193" w:rsidP="0099033B">
            <w:pPr>
              <w:spacing w:line="360" w:lineRule="auto"/>
              <w:jc w:val="center"/>
              <w:rPr>
                <w:sz w:val="20"/>
                <w:szCs w:val="20"/>
              </w:rPr>
            </w:pPr>
            <w:r w:rsidRPr="00E4462A">
              <w:rPr>
                <w:sz w:val="20"/>
                <w:szCs w:val="20"/>
              </w:rPr>
              <w:t>FCE-L</w:t>
            </w:r>
          </w:p>
        </w:tc>
        <w:tc>
          <w:tcPr>
            <w:tcW w:w="1134" w:type="dxa"/>
            <w:shd w:val="clear" w:color="auto" w:fill="auto"/>
            <w:noWrap/>
          </w:tcPr>
          <w:p w14:paraId="654445F3" w14:textId="16CE304A" w:rsidR="00043193" w:rsidRPr="00E4462A" w:rsidRDefault="00F56627" w:rsidP="0099033B">
            <w:pPr>
              <w:spacing w:line="360" w:lineRule="auto"/>
              <w:jc w:val="center"/>
              <w:rPr>
                <w:sz w:val="20"/>
                <w:szCs w:val="20"/>
              </w:rPr>
            </w:pPr>
            <w:r w:rsidRPr="00E4462A">
              <w:rPr>
                <w:sz w:val="20"/>
                <w:szCs w:val="20"/>
              </w:rPr>
              <w:t>5.5</w:t>
            </w:r>
          </w:p>
        </w:tc>
        <w:tc>
          <w:tcPr>
            <w:tcW w:w="1417" w:type="dxa"/>
            <w:shd w:val="clear" w:color="auto" w:fill="auto"/>
            <w:noWrap/>
          </w:tcPr>
          <w:p w14:paraId="073C75F0" w14:textId="7F1F52B5" w:rsidR="00043193" w:rsidRPr="00E4462A" w:rsidRDefault="00E704A8" w:rsidP="00F56627">
            <w:pPr>
              <w:spacing w:line="360" w:lineRule="auto"/>
              <w:jc w:val="center"/>
              <w:rPr>
                <w:sz w:val="20"/>
                <w:szCs w:val="20"/>
              </w:rPr>
            </w:pPr>
            <w:r w:rsidRPr="00E4462A">
              <w:rPr>
                <w:sz w:val="20"/>
                <w:szCs w:val="20"/>
              </w:rPr>
              <w:t>2.</w:t>
            </w:r>
            <w:r w:rsidR="00F56627" w:rsidRPr="00E4462A">
              <w:rPr>
                <w:sz w:val="20"/>
                <w:szCs w:val="20"/>
              </w:rPr>
              <w:t>4</w:t>
            </w:r>
          </w:p>
        </w:tc>
        <w:tc>
          <w:tcPr>
            <w:tcW w:w="1134" w:type="dxa"/>
            <w:shd w:val="clear" w:color="auto" w:fill="auto"/>
            <w:noWrap/>
          </w:tcPr>
          <w:p w14:paraId="358538ED" w14:textId="6FB4E30F" w:rsidR="00043193" w:rsidRPr="00E4462A" w:rsidRDefault="00F56627" w:rsidP="00F56627">
            <w:pPr>
              <w:spacing w:line="360" w:lineRule="auto"/>
              <w:jc w:val="center"/>
              <w:rPr>
                <w:sz w:val="20"/>
                <w:szCs w:val="20"/>
              </w:rPr>
            </w:pPr>
            <w:r w:rsidRPr="00E4462A">
              <w:rPr>
                <w:sz w:val="20"/>
                <w:szCs w:val="20"/>
              </w:rPr>
              <w:t>27.9</w:t>
            </w:r>
          </w:p>
        </w:tc>
        <w:tc>
          <w:tcPr>
            <w:tcW w:w="1134" w:type="dxa"/>
            <w:shd w:val="clear" w:color="auto" w:fill="auto"/>
            <w:noWrap/>
          </w:tcPr>
          <w:p w14:paraId="52E5B38A" w14:textId="0977B9A7" w:rsidR="00043193" w:rsidRPr="00E4462A" w:rsidRDefault="00F56627" w:rsidP="00F56627">
            <w:pPr>
              <w:spacing w:line="360" w:lineRule="auto"/>
              <w:jc w:val="center"/>
              <w:rPr>
                <w:sz w:val="20"/>
                <w:szCs w:val="20"/>
              </w:rPr>
            </w:pPr>
            <w:r w:rsidRPr="00E4462A">
              <w:rPr>
                <w:sz w:val="20"/>
                <w:szCs w:val="20"/>
              </w:rPr>
              <w:t>30.5</w:t>
            </w:r>
          </w:p>
        </w:tc>
        <w:tc>
          <w:tcPr>
            <w:tcW w:w="1134" w:type="dxa"/>
            <w:shd w:val="clear" w:color="auto" w:fill="auto"/>
            <w:noWrap/>
          </w:tcPr>
          <w:p w14:paraId="51258DFF" w14:textId="5119F13E" w:rsidR="00043193" w:rsidRPr="00E4462A" w:rsidRDefault="00E704A8" w:rsidP="00F56627">
            <w:pPr>
              <w:spacing w:line="360" w:lineRule="auto"/>
              <w:jc w:val="center"/>
              <w:rPr>
                <w:sz w:val="20"/>
                <w:szCs w:val="20"/>
              </w:rPr>
            </w:pPr>
            <w:r w:rsidRPr="00E4462A">
              <w:rPr>
                <w:sz w:val="20"/>
                <w:szCs w:val="20"/>
              </w:rPr>
              <w:t>3</w:t>
            </w:r>
            <w:r w:rsidR="00F56627" w:rsidRPr="00E4462A">
              <w:rPr>
                <w:sz w:val="20"/>
                <w:szCs w:val="20"/>
              </w:rPr>
              <w:t>3.7</w:t>
            </w:r>
          </w:p>
        </w:tc>
      </w:tr>
      <w:tr w:rsidR="00043193" w:rsidRPr="00E4462A" w14:paraId="46251BA6" w14:textId="77777777" w:rsidTr="006208A1">
        <w:trPr>
          <w:trHeight w:val="360"/>
        </w:trPr>
        <w:tc>
          <w:tcPr>
            <w:tcW w:w="2376" w:type="dxa"/>
            <w:shd w:val="clear" w:color="auto" w:fill="auto"/>
            <w:noWrap/>
          </w:tcPr>
          <w:p w14:paraId="361342CD" w14:textId="77777777" w:rsidR="00043193" w:rsidRPr="00E4462A" w:rsidRDefault="00043193" w:rsidP="0099033B">
            <w:pPr>
              <w:spacing w:line="360" w:lineRule="auto"/>
              <w:jc w:val="center"/>
              <w:rPr>
                <w:sz w:val="20"/>
                <w:szCs w:val="20"/>
              </w:rPr>
            </w:pPr>
            <w:r w:rsidRPr="00E4462A">
              <w:rPr>
                <w:sz w:val="20"/>
                <w:szCs w:val="20"/>
              </w:rPr>
              <w:t>FCE-S</w:t>
            </w:r>
          </w:p>
        </w:tc>
        <w:tc>
          <w:tcPr>
            <w:tcW w:w="1134" w:type="dxa"/>
            <w:shd w:val="clear" w:color="auto" w:fill="auto"/>
            <w:noWrap/>
          </w:tcPr>
          <w:p w14:paraId="1BF67BD4" w14:textId="6B48AC7D" w:rsidR="00043193" w:rsidRPr="00E4462A" w:rsidRDefault="00F56627" w:rsidP="0099033B">
            <w:pPr>
              <w:spacing w:line="360" w:lineRule="auto"/>
              <w:jc w:val="center"/>
              <w:rPr>
                <w:sz w:val="20"/>
                <w:szCs w:val="20"/>
              </w:rPr>
            </w:pPr>
            <w:r w:rsidRPr="00E4462A">
              <w:rPr>
                <w:sz w:val="20"/>
                <w:szCs w:val="20"/>
              </w:rPr>
              <w:t>5.3</w:t>
            </w:r>
          </w:p>
        </w:tc>
        <w:tc>
          <w:tcPr>
            <w:tcW w:w="1417" w:type="dxa"/>
            <w:shd w:val="clear" w:color="auto" w:fill="auto"/>
            <w:noWrap/>
          </w:tcPr>
          <w:p w14:paraId="59F9472F" w14:textId="5E0E36DD" w:rsidR="00043193" w:rsidRPr="00E4462A" w:rsidRDefault="00E704A8" w:rsidP="00F56627">
            <w:pPr>
              <w:spacing w:line="360" w:lineRule="auto"/>
              <w:jc w:val="center"/>
              <w:rPr>
                <w:sz w:val="20"/>
                <w:szCs w:val="20"/>
              </w:rPr>
            </w:pPr>
            <w:r w:rsidRPr="00E4462A">
              <w:rPr>
                <w:sz w:val="20"/>
                <w:szCs w:val="20"/>
              </w:rPr>
              <w:t>2.</w:t>
            </w:r>
            <w:r w:rsidR="00F56627" w:rsidRPr="00E4462A">
              <w:rPr>
                <w:sz w:val="20"/>
                <w:szCs w:val="20"/>
              </w:rPr>
              <w:t>1</w:t>
            </w:r>
          </w:p>
        </w:tc>
        <w:tc>
          <w:tcPr>
            <w:tcW w:w="1134" w:type="dxa"/>
            <w:shd w:val="clear" w:color="auto" w:fill="auto"/>
            <w:noWrap/>
          </w:tcPr>
          <w:p w14:paraId="4B2CC7BD" w14:textId="77777777" w:rsidR="00043193" w:rsidRPr="00E4462A" w:rsidRDefault="00E704A8" w:rsidP="0099033B">
            <w:pPr>
              <w:spacing w:line="360" w:lineRule="auto"/>
              <w:jc w:val="center"/>
              <w:rPr>
                <w:sz w:val="20"/>
                <w:szCs w:val="20"/>
              </w:rPr>
            </w:pPr>
            <w:r w:rsidRPr="00E4462A">
              <w:rPr>
                <w:sz w:val="20"/>
                <w:szCs w:val="20"/>
              </w:rPr>
              <w:t>29.3</w:t>
            </w:r>
          </w:p>
        </w:tc>
        <w:tc>
          <w:tcPr>
            <w:tcW w:w="1134" w:type="dxa"/>
            <w:shd w:val="clear" w:color="auto" w:fill="auto"/>
            <w:noWrap/>
          </w:tcPr>
          <w:p w14:paraId="0FF78C8F" w14:textId="625B9513" w:rsidR="00043193" w:rsidRPr="00E4462A" w:rsidRDefault="00F56627" w:rsidP="00F56627">
            <w:pPr>
              <w:spacing w:line="360" w:lineRule="auto"/>
              <w:jc w:val="center"/>
              <w:rPr>
                <w:sz w:val="20"/>
                <w:szCs w:val="20"/>
              </w:rPr>
            </w:pPr>
            <w:r w:rsidRPr="00E4462A">
              <w:rPr>
                <w:sz w:val="20"/>
                <w:szCs w:val="20"/>
              </w:rPr>
              <w:t>28.9</w:t>
            </w:r>
          </w:p>
        </w:tc>
        <w:tc>
          <w:tcPr>
            <w:tcW w:w="1134" w:type="dxa"/>
            <w:shd w:val="clear" w:color="auto" w:fill="auto"/>
            <w:noWrap/>
          </w:tcPr>
          <w:p w14:paraId="26D7F6D5" w14:textId="6E72DD1B" w:rsidR="00043193" w:rsidRPr="00E4462A" w:rsidRDefault="00E704A8" w:rsidP="00F56627">
            <w:pPr>
              <w:spacing w:line="360" w:lineRule="auto"/>
              <w:jc w:val="center"/>
              <w:rPr>
                <w:sz w:val="20"/>
                <w:szCs w:val="20"/>
              </w:rPr>
            </w:pPr>
            <w:r w:rsidRPr="00E4462A">
              <w:rPr>
                <w:sz w:val="20"/>
                <w:szCs w:val="20"/>
              </w:rPr>
              <w:t>3</w:t>
            </w:r>
            <w:r w:rsidR="00F56627" w:rsidRPr="00E4462A">
              <w:rPr>
                <w:sz w:val="20"/>
                <w:szCs w:val="20"/>
              </w:rPr>
              <w:t>4.4</w:t>
            </w:r>
          </w:p>
        </w:tc>
      </w:tr>
    </w:tbl>
    <w:p w14:paraId="18A29A15" w14:textId="77777777" w:rsidR="00043193" w:rsidRPr="00E4462A" w:rsidRDefault="00043193" w:rsidP="008B22B1">
      <w:pPr>
        <w:spacing w:line="360" w:lineRule="auto"/>
        <w:jc w:val="both"/>
        <w:rPr>
          <w:sz w:val="20"/>
          <w:szCs w:val="20"/>
          <w:lang w:val="en-GB"/>
        </w:rPr>
      </w:pPr>
    </w:p>
    <w:p w14:paraId="72067AFD" w14:textId="13E81AC5" w:rsidR="00F56627" w:rsidRPr="00E4462A" w:rsidRDefault="00F56627" w:rsidP="00F56627">
      <w:pPr>
        <w:spacing w:after="200" w:line="360" w:lineRule="auto"/>
        <w:jc w:val="both"/>
        <w:rPr>
          <w:rFonts w:eastAsia="Calibri"/>
          <w:sz w:val="20"/>
          <w:szCs w:val="20"/>
          <w:lang w:val="en-GB"/>
        </w:rPr>
      </w:pPr>
      <w:r w:rsidRPr="00E4462A">
        <w:rPr>
          <w:rFonts w:eastAsia="Calibri"/>
          <w:b/>
          <w:sz w:val="20"/>
          <w:szCs w:val="20"/>
          <w:lang w:val="en-GB"/>
        </w:rPr>
        <w:t>Table 2.</w:t>
      </w:r>
      <w:r w:rsidRPr="00E4462A">
        <w:rPr>
          <w:rFonts w:eastAsia="Calibri"/>
          <w:sz w:val="20"/>
          <w:szCs w:val="20"/>
          <w:lang w:val="en-GB"/>
        </w:rPr>
        <w:t xml:space="preserve"> </w:t>
      </w:r>
      <w:r w:rsidRPr="00E4462A">
        <w:rPr>
          <w:rFonts w:eastAsia="Calibri"/>
          <w:sz w:val="20"/>
          <w:szCs w:val="20"/>
          <w:vertAlign w:val="superscript"/>
          <w:lang w:val="en-GB"/>
        </w:rPr>
        <w:t>1</w:t>
      </w:r>
      <w:r w:rsidRPr="00E4462A">
        <w:rPr>
          <w:rFonts w:eastAsia="Calibri"/>
          <w:sz w:val="20"/>
          <w:szCs w:val="20"/>
          <w:lang w:val="en-GB"/>
        </w:rPr>
        <w:t xml:space="preserve">H NMR section integral for key substructures of natural organic matter (SPE-DOM) as computed from 0.001 </w:t>
      </w:r>
      <w:r w:rsidRPr="00E4462A">
        <w:rPr>
          <w:rFonts w:eastAsia="Calibri"/>
          <w:sz w:val="20"/>
          <w:szCs w:val="20"/>
          <w:vertAlign w:val="superscript"/>
          <w:lang w:val="en-GB"/>
        </w:rPr>
        <w:t>1</w:t>
      </w:r>
      <w:r w:rsidRPr="00E4462A">
        <w:rPr>
          <w:rFonts w:eastAsia="Calibri"/>
          <w:sz w:val="20"/>
          <w:szCs w:val="20"/>
          <w:lang w:val="en-GB"/>
        </w:rPr>
        <w:t xml:space="preserve">H NMR bucket NMR integrals (cf. Fig. S2); owing to distribution of HSQC cross peaks, the distinction between aromatic and olefinic molecules was placed at </w:t>
      </w:r>
      <w:r w:rsidRPr="00E4462A">
        <w:rPr>
          <w:rFonts w:ascii="Symbol" w:eastAsia="Calibri" w:hAnsi="Symbol"/>
          <w:sz w:val="20"/>
          <w:szCs w:val="20"/>
          <w:lang w:val="en-GB"/>
        </w:rPr>
        <w:t></w:t>
      </w:r>
      <w:r w:rsidRPr="00E4462A">
        <w:rPr>
          <w:rFonts w:eastAsia="Calibri"/>
          <w:sz w:val="20"/>
          <w:szCs w:val="20"/>
          <w:vertAlign w:val="subscript"/>
          <w:lang w:val="en-GB"/>
        </w:rPr>
        <w:t>H</w:t>
      </w:r>
      <w:r w:rsidRPr="00E4462A">
        <w:rPr>
          <w:rFonts w:eastAsia="Calibri"/>
          <w:sz w:val="20"/>
          <w:szCs w:val="20"/>
          <w:lang w:val="en-GB"/>
        </w:rPr>
        <w:t xml:space="preserve"> = 6.5 ppm (cf. Fig. 4).</w:t>
      </w:r>
    </w:p>
    <w:p w14:paraId="12770738" w14:textId="77777777" w:rsidR="00043193" w:rsidRPr="00E4462A" w:rsidRDefault="00043193" w:rsidP="008B22B1">
      <w:pPr>
        <w:spacing w:after="200" w:line="276" w:lineRule="auto"/>
        <w:jc w:val="both"/>
        <w:rPr>
          <w:b/>
          <w:sz w:val="20"/>
          <w:szCs w:val="20"/>
          <w:lang w:val="en-GB"/>
        </w:rPr>
      </w:pPr>
      <w:r w:rsidRPr="00E4462A">
        <w:rPr>
          <w:b/>
          <w:sz w:val="20"/>
          <w:szCs w:val="20"/>
          <w:lang w:val="en-GB"/>
        </w:rPr>
        <w:br w:type="page"/>
      </w:r>
    </w:p>
    <w:p w14:paraId="7B5C9F25" w14:textId="77777777" w:rsidR="00043193" w:rsidRPr="00E4462A" w:rsidRDefault="00043193" w:rsidP="008B22B1">
      <w:pPr>
        <w:spacing w:line="360" w:lineRule="auto"/>
        <w:jc w:val="both"/>
        <w:rPr>
          <w:rFonts w:ascii="TimesNewRomanPSMT" w:hAnsi="TimesNewRomanPSMT"/>
          <w:sz w:val="20"/>
          <w:szCs w:val="20"/>
          <w:lang w:val="en-GB"/>
        </w:rPr>
      </w:pPr>
    </w:p>
    <w:tbl>
      <w:tblPr>
        <w:tblStyle w:val="TableGrid"/>
        <w:tblW w:w="9752" w:type="dxa"/>
        <w:jc w:val="center"/>
        <w:tblLook w:val="04A0" w:firstRow="1" w:lastRow="0" w:firstColumn="1" w:lastColumn="0" w:noHBand="0" w:noVBand="1"/>
      </w:tblPr>
      <w:tblGrid>
        <w:gridCol w:w="1871"/>
        <w:gridCol w:w="1304"/>
        <w:gridCol w:w="1304"/>
        <w:gridCol w:w="1304"/>
        <w:gridCol w:w="1304"/>
        <w:gridCol w:w="1304"/>
        <w:gridCol w:w="1361"/>
      </w:tblGrid>
      <w:tr w:rsidR="00043193" w:rsidRPr="00E4462A" w14:paraId="378A0ED8" w14:textId="77777777" w:rsidTr="0099033B">
        <w:trPr>
          <w:trHeight w:val="679"/>
          <w:jc w:val="center"/>
        </w:trPr>
        <w:tc>
          <w:tcPr>
            <w:tcW w:w="1871" w:type="dxa"/>
            <w:vAlign w:val="center"/>
            <w:hideMark/>
          </w:tcPr>
          <w:p w14:paraId="2B524A4D" w14:textId="77777777" w:rsidR="00043193" w:rsidRPr="00E4462A" w:rsidRDefault="00043193" w:rsidP="0099033B">
            <w:pPr>
              <w:jc w:val="center"/>
              <w:rPr>
                <w:b/>
                <w:sz w:val="18"/>
                <w:szCs w:val="18"/>
                <w:lang w:val="en-US"/>
              </w:rPr>
            </w:pPr>
            <w:r w:rsidRPr="00E4462A">
              <w:rPr>
                <w:b/>
                <w:sz w:val="18"/>
                <w:szCs w:val="18"/>
                <w:lang w:val="en-US"/>
              </w:rPr>
              <w:t>Members of</w:t>
            </w:r>
          </w:p>
          <w:p w14:paraId="0EF92931" w14:textId="77777777" w:rsidR="00043193" w:rsidRPr="00E4462A" w:rsidRDefault="00043193" w:rsidP="0099033B">
            <w:pPr>
              <w:jc w:val="center"/>
              <w:rPr>
                <w:sz w:val="18"/>
                <w:szCs w:val="18"/>
              </w:rPr>
            </w:pPr>
            <w:r w:rsidRPr="00E4462A">
              <w:rPr>
                <w:b/>
                <w:sz w:val="18"/>
                <w:szCs w:val="18"/>
                <w:lang w:val="en-US"/>
              </w:rPr>
              <w:t>Molec</w:t>
            </w:r>
            <w:r w:rsidRPr="00E4462A">
              <w:rPr>
                <w:b/>
                <w:sz w:val="18"/>
                <w:szCs w:val="18"/>
              </w:rPr>
              <w:t>ular series</w:t>
            </w:r>
          </w:p>
        </w:tc>
        <w:tc>
          <w:tcPr>
            <w:tcW w:w="1304" w:type="dxa"/>
            <w:vAlign w:val="center"/>
            <w:hideMark/>
          </w:tcPr>
          <w:p w14:paraId="07ADFFA4" w14:textId="77777777" w:rsidR="00043193" w:rsidRPr="00E4462A" w:rsidRDefault="00043193" w:rsidP="0099033B">
            <w:pPr>
              <w:jc w:val="center"/>
              <w:rPr>
                <w:b/>
                <w:sz w:val="18"/>
                <w:szCs w:val="18"/>
              </w:rPr>
            </w:pPr>
            <w:r w:rsidRPr="00E4462A">
              <w:rPr>
                <w:b/>
                <w:sz w:val="18"/>
                <w:szCs w:val="18"/>
              </w:rPr>
              <w:t>OKA-L</w:t>
            </w:r>
          </w:p>
        </w:tc>
        <w:tc>
          <w:tcPr>
            <w:tcW w:w="1304" w:type="dxa"/>
            <w:vAlign w:val="center"/>
            <w:hideMark/>
          </w:tcPr>
          <w:p w14:paraId="3934EAF4" w14:textId="77777777" w:rsidR="00043193" w:rsidRPr="00E4462A" w:rsidRDefault="00043193" w:rsidP="0099033B">
            <w:pPr>
              <w:jc w:val="center"/>
              <w:rPr>
                <w:b/>
                <w:sz w:val="18"/>
                <w:szCs w:val="18"/>
              </w:rPr>
            </w:pPr>
            <w:r w:rsidRPr="00E4462A">
              <w:rPr>
                <w:b/>
                <w:sz w:val="18"/>
                <w:szCs w:val="18"/>
              </w:rPr>
              <w:t>OKA-S</w:t>
            </w:r>
          </w:p>
        </w:tc>
        <w:tc>
          <w:tcPr>
            <w:tcW w:w="1304" w:type="dxa"/>
            <w:vAlign w:val="center"/>
            <w:hideMark/>
          </w:tcPr>
          <w:p w14:paraId="3E266B35" w14:textId="77777777" w:rsidR="00043193" w:rsidRPr="00E4462A" w:rsidRDefault="00043193" w:rsidP="0099033B">
            <w:pPr>
              <w:jc w:val="center"/>
              <w:rPr>
                <w:b/>
                <w:sz w:val="18"/>
                <w:szCs w:val="18"/>
              </w:rPr>
            </w:pPr>
            <w:r w:rsidRPr="00E4462A">
              <w:rPr>
                <w:b/>
                <w:sz w:val="18"/>
                <w:szCs w:val="18"/>
              </w:rPr>
              <w:t>PAN-L</w:t>
            </w:r>
          </w:p>
        </w:tc>
        <w:tc>
          <w:tcPr>
            <w:tcW w:w="1304" w:type="dxa"/>
            <w:vAlign w:val="center"/>
            <w:hideMark/>
          </w:tcPr>
          <w:p w14:paraId="62EB9E8D" w14:textId="77777777" w:rsidR="00043193" w:rsidRPr="00E4462A" w:rsidRDefault="00043193" w:rsidP="0099033B">
            <w:pPr>
              <w:jc w:val="center"/>
              <w:rPr>
                <w:b/>
                <w:sz w:val="18"/>
                <w:szCs w:val="18"/>
              </w:rPr>
            </w:pPr>
            <w:r w:rsidRPr="00E4462A">
              <w:rPr>
                <w:b/>
                <w:sz w:val="18"/>
                <w:szCs w:val="18"/>
              </w:rPr>
              <w:t>PAN-S</w:t>
            </w:r>
          </w:p>
        </w:tc>
        <w:tc>
          <w:tcPr>
            <w:tcW w:w="1304" w:type="dxa"/>
            <w:vAlign w:val="center"/>
          </w:tcPr>
          <w:p w14:paraId="042E8050" w14:textId="77777777" w:rsidR="00043193" w:rsidRPr="00E4462A" w:rsidRDefault="00043193" w:rsidP="0099033B">
            <w:pPr>
              <w:jc w:val="center"/>
              <w:rPr>
                <w:b/>
                <w:sz w:val="18"/>
                <w:szCs w:val="18"/>
              </w:rPr>
            </w:pPr>
            <w:r w:rsidRPr="00E4462A">
              <w:rPr>
                <w:b/>
                <w:sz w:val="18"/>
                <w:szCs w:val="18"/>
              </w:rPr>
              <w:t>FCE-L</w:t>
            </w:r>
          </w:p>
        </w:tc>
        <w:tc>
          <w:tcPr>
            <w:tcW w:w="1361" w:type="dxa"/>
            <w:vAlign w:val="center"/>
            <w:hideMark/>
          </w:tcPr>
          <w:p w14:paraId="06FD1E8F" w14:textId="77777777" w:rsidR="00043193" w:rsidRPr="00E4462A" w:rsidRDefault="00043193" w:rsidP="0099033B">
            <w:pPr>
              <w:jc w:val="center"/>
              <w:rPr>
                <w:b/>
                <w:sz w:val="18"/>
                <w:szCs w:val="18"/>
              </w:rPr>
            </w:pPr>
            <w:r w:rsidRPr="00E4462A">
              <w:rPr>
                <w:b/>
                <w:sz w:val="18"/>
                <w:szCs w:val="18"/>
              </w:rPr>
              <w:t>FCE-S</w:t>
            </w:r>
          </w:p>
        </w:tc>
      </w:tr>
      <w:tr w:rsidR="00043193" w:rsidRPr="00E4462A" w14:paraId="7435AFD9" w14:textId="77777777" w:rsidTr="0099033B">
        <w:trPr>
          <w:trHeight w:val="270"/>
          <w:jc w:val="center"/>
        </w:trPr>
        <w:tc>
          <w:tcPr>
            <w:tcW w:w="1871" w:type="dxa"/>
            <w:hideMark/>
          </w:tcPr>
          <w:p w14:paraId="46684577" w14:textId="77777777" w:rsidR="00043193" w:rsidRPr="00E4462A" w:rsidRDefault="00043193" w:rsidP="0099033B">
            <w:pPr>
              <w:jc w:val="center"/>
              <w:rPr>
                <w:sz w:val="18"/>
                <w:szCs w:val="18"/>
              </w:rPr>
            </w:pPr>
            <w:r w:rsidRPr="00E4462A">
              <w:rPr>
                <w:sz w:val="18"/>
                <w:szCs w:val="18"/>
              </w:rPr>
              <w:t>CHO compounds</w:t>
            </w:r>
          </w:p>
        </w:tc>
        <w:tc>
          <w:tcPr>
            <w:tcW w:w="1304" w:type="dxa"/>
            <w:hideMark/>
          </w:tcPr>
          <w:p w14:paraId="293DCDA2" w14:textId="77777777" w:rsidR="00043193" w:rsidRPr="00E4462A" w:rsidRDefault="00043193" w:rsidP="0099033B">
            <w:pPr>
              <w:jc w:val="center"/>
              <w:rPr>
                <w:sz w:val="18"/>
                <w:szCs w:val="18"/>
              </w:rPr>
            </w:pPr>
            <w:r w:rsidRPr="00E4462A">
              <w:rPr>
                <w:sz w:val="18"/>
                <w:szCs w:val="18"/>
              </w:rPr>
              <w:t>1581 (57.6 %)</w:t>
            </w:r>
          </w:p>
        </w:tc>
        <w:tc>
          <w:tcPr>
            <w:tcW w:w="1304" w:type="dxa"/>
            <w:hideMark/>
          </w:tcPr>
          <w:p w14:paraId="43068CCE" w14:textId="77777777" w:rsidR="00043193" w:rsidRPr="00E4462A" w:rsidRDefault="00043193" w:rsidP="0099033B">
            <w:pPr>
              <w:jc w:val="center"/>
              <w:rPr>
                <w:sz w:val="18"/>
                <w:szCs w:val="18"/>
              </w:rPr>
            </w:pPr>
            <w:r w:rsidRPr="00E4462A">
              <w:rPr>
                <w:sz w:val="18"/>
                <w:szCs w:val="18"/>
              </w:rPr>
              <w:t>1772 (60.0 %)</w:t>
            </w:r>
          </w:p>
        </w:tc>
        <w:tc>
          <w:tcPr>
            <w:tcW w:w="1304" w:type="dxa"/>
            <w:hideMark/>
          </w:tcPr>
          <w:p w14:paraId="6D548337" w14:textId="77777777" w:rsidR="00043193" w:rsidRPr="00E4462A" w:rsidRDefault="00043193" w:rsidP="0099033B">
            <w:pPr>
              <w:jc w:val="center"/>
              <w:rPr>
                <w:sz w:val="18"/>
                <w:szCs w:val="18"/>
              </w:rPr>
            </w:pPr>
            <w:r w:rsidRPr="00E4462A">
              <w:rPr>
                <w:sz w:val="18"/>
                <w:szCs w:val="18"/>
              </w:rPr>
              <w:t>1711 (58.8 %)</w:t>
            </w:r>
          </w:p>
        </w:tc>
        <w:tc>
          <w:tcPr>
            <w:tcW w:w="1304" w:type="dxa"/>
            <w:hideMark/>
          </w:tcPr>
          <w:p w14:paraId="5E3AC0A7" w14:textId="77777777" w:rsidR="00043193" w:rsidRPr="00E4462A" w:rsidRDefault="00043193" w:rsidP="0099033B">
            <w:pPr>
              <w:jc w:val="center"/>
              <w:rPr>
                <w:sz w:val="18"/>
                <w:szCs w:val="18"/>
              </w:rPr>
            </w:pPr>
            <w:r w:rsidRPr="00E4462A">
              <w:rPr>
                <w:sz w:val="18"/>
                <w:szCs w:val="18"/>
              </w:rPr>
              <w:t>1844 (56.5 %)</w:t>
            </w:r>
          </w:p>
        </w:tc>
        <w:tc>
          <w:tcPr>
            <w:tcW w:w="1304" w:type="dxa"/>
          </w:tcPr>
          <w:p w14:paraId="0EFDA142" w14:textId="77777777" w:rsidR="00043193" w:rsidRPr="00E4462A" w:rsidRDefault="00043193" w:rsidP="0099033B">
            <w:pPr>
              <w:jc w:val="center"/>
              <w:rPr>
                <w:sz w:val="18"/>
                <w:szCs w:val="18"/>
              </w:rPr>
            </w:pPr>
            <w:r w:rsidRPr="00E4462A">
              <w:rPr>
                <w:sz w:val="18"/>
                <w:szCs w:val="18"/>
              </w:rPr>
              <w:t>1400 (37.2 %)</w:t>
            </w:r>
          </w:p>
        </w:tc>
        <w:tc>
          <w:tcPr>
            <w:tcW w:w="1361" w:type="dxa"/>
            <w:hideMark/>
          </w:tcPr>
          <w:p w14:paraId="33202B9B" w14:textId="77777777" w:rsidR="00043193" w:rsidRPr="00E4462A" w:rsidRDefault="00043193" w:rsidP="0099033B">
            <w:pPr>
              <w:jc w:val="center"/>
              <w:rPr>
                <w:sz w:val="18"/>
                <w:szCs w:val="18"/>
              </w:rPr>
            </w:pPr>
            <w:r w:rsidRPr="00E4462A">
              <w:rPr>
                <w:sz w:val="18"/>
                <w:szCs w:val="18"/>
              </w:rPr>
              <w:t>1201 (32.2 %)</w:t>
            </w:r>
          </w:p>
        </w:tc>
      </w:tr>
      <w:tr w:rsidR="00043193" w:rsidRPr="00E4462A" w14:paraId="7EACD0BA" w14:textId="77777777" w:rsidTr="0099033B">
        <w:trPr>
          <w:trHeight w:val="255"/>
          <w:jc w:val="center"/>
        </w:trPr>
        <w:tc>
          <w:tcPr>
            <w:tcW w:w="1871" w:type="dxa"/>
            <w:hideMark/>
          </w:tcPr>
          <w:p w14:paraId="4AA8102B" w14:textId="77777777" w:rsidR="00043193" w:rsidRPr="00E4462A" w:rsidRDefault="00043193" w:rsidP="0099033B">
            <w:pPr>
              <w:jc w:val="center"/>
              <w:rPr>
                <w:sz w:val="18"/>
                <w:szCs w:val="18"/>
              </w:rPr>
            </w:pPr>
            <w:r w:rsidRPr="00E4462A">
              <w:rPr>
                <w:sz w:val="18"/>
                <w:szCs w:val="18"/>
              </w:rPr>
              <w:t>CHOS compounds</w:t>
            </w:r>
          </w:p>
        </w:tc>
        <w:tc>
          <w:tcPr>
            <w:tcW w:w="1304" w:type="dxa"/>
            <w:hideMark/>
          </w:tcPr>
          <w:p w14:paraId="2C8110AC"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266 (  9.7 %)</w:t>
            </w:r>
          </w:p>
        </w:tc>
        <w:tc>
          <w:tcPr>
            <w:tcW w:w="1304" w:type="dxa"/>
            <w:hideMark/>
          </w:tcPr>
          <w:p w14:paraId="6E696229"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207 (  6.8 %)</w:t>
            </w:r>
          </w:p>
        </w:tc>
        <w:tc>
          <w:tcPr>
            <w:tcW w:w="1304" w:type="dxa"/>
            <w:hideMark/>
          </w:tcPr>
          <w:p w14:paraId="5BE7AA44"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211 (  7.3 %)</w:t>
            </w:r>
          </w:p>
        </w:tc>
        <w:tc>
          <w:tcPr>
            <w:tcW w:w="1304" w:type="dxa"/>
            <w:hideMark/>
          </w:tcPr>
          <w:p w14:paraId="617BD7C8"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260 (  8.0 %)</w:t>
            </w:r>
          </w:p>
        </w:tc>
        <w:tc>
          <w:tcPr>
            <w:tcW w:w="1304" w:type="dxa"/>
          </w:tcPr>
          <w:p w14:paraId="6711EEC4" w14:textId="77777777" w:rsidR="00043193" w:rsidRPr="00E4462A" w:rsidRDefault="00043193" w:rsidP="0099033B">
            <w:pPr>
              <w:jc w:val="center"/>
              <w:rPr>
                <w:sz w:val="18"/>
                <w:szCs w:val="18"/>
              </w:rPr>
            </w:pPr>
            <w:r w:rsidRPr="00E4462A">
              <w:rPr>
                <w:sz w:val="18"/>
                <w:szCs w:val="18"/>
              </w:rPr>
              <w:t>1127 (29.9 %)</w:t>
            </w:r>
          </w:p>
        </w:tc>
        <w:tc>
          <w:tcPr>
            <w:tcW w:w="1361" w:type="dxa"/>
            <w:hideMark/>
          </w:tcPr>
          <w:p w14:paraId="3601D09C" w14:textId="77777777" w:rsidR="00043193" w:rsidRPr="00E4462A" w:rsidRDefault="00043193" w:rsidP="0099033B">
            <w:pPr>
              <w:jc w:val="center"/>
              <w:rPr>
                <w:sz w:val="18"/>
                <w:szCs w:val="18"/>
              </w:rPr>
            </w:pPr>
            <w:r w:rsidRPr="00E4462A">
              <w:rPr>
                <w:sz w:val="18"/>
                <w:szCs w:val="18"/>
              </w:rPr>
              <w:t>1400 (37.5 %)</w:t>
            </w:r>
          </w:p>
        </w:tc>
      </w:tr>
      <w:tr w:rsidR="00043193" w:rsidRPr="00E4462A" w14:paraId="7AE88439" w14:textId="77777777" w:rsidTr="0099033B">
        <w:trPr>
          <w:trHeight w:val="285"/>
          <w:jc w:val="center"/>
        </w:trPr>
        <w:tc>
          <w:tcPr>
            <w:tcW w:w="1871" w:type="dxa"/>
            <w:hideMark/>
          </w:tcPr>
          <w:p w14:paraId="46D06A87" w14:textId="77777777" w:rsidR="00043193" w:rsidRPr="00E4462A" w:rsidRDefault="00043193" w:rsidP="0099033B">
            <w:pPr>
              <w:jc w:val="center"/>
              <w:rPr>
                <w:sz w:val="18"/>
                <w:szCs w:val="18"/>
              </w:rPr>
            </w:pPr>
            <w:r w:rsidRPr="00E4462A">
              <w:rPr>
                <w:sz w:val="18"/>
                <w:szCs w:val="18"/>
              </w:rPr>
              <w:t>CHNO compounds</w:t>
            </w:r>
          </w:p>
        </w:tc>
        <w:tc>
          <w:tcPr>
            <w:tcW w:w="1304" w:type="dxa"/>
            <w:hideMark/>
          </w:tcPr>
          <w:p w14:paraId="449399BB"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893 (32.5 %)</w:t>
            </w:r>
          </w:p>
        </w:tc>
        <w:tc>
          <w:tcPr>
            <w:tcW w:w="1304" w:type="dxa"/>
            <w:hideMark/>
          </w:tcPr>
          <w:p w14:paraId="6D7D68DB" w14:textId="77777777" w:rsidR="00043193" w:rsidRPr="00E4462A" w:rsidRDefault="00043193" w:rsidP="0099033B">
            <w:pPr>
              <w:jc w:val="center"/>
              <w:rPr>
                <w:sz w:val="18"/>
                <w:szCs w:val="18"/>
              </w:rPr>
            </w:pPr>
            <w:r w:rsidRPr="00E4462A">
              <w:rPr>
                <w:sz w:val="18"/>
                <w:szCs w:val="18"/>
              </w:rPr>
              <w:t>1075 (35.2 %)</w:t>
            </w:r>
          </w:p>
        </w:tc>
        <w:tc>
          <w:tcPr>
            <w:tcW w:w="1304" w:type="dxa"/>
            <w:hideMark/>
          </w:tcPr>
          <w:p w14:paraId="7F2C9629"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984 (33.8 %)</w:t>
            </w:r>
          </w:p>
        </w:tc>
        <w:tc>
          <w:tcPr>
            <w:tcW w:w="1304" w:type="dxa"/>
            <w:hideMark/>
          </w:tcPr>
          <w:p w14:paraId="6C89A5CB" w14:textId="77777777" w:rsidR="00043193" w:rsidRPr="00E4462A" w:rsidRDefault="00043193" w:rsidP="0099033B">
            <w:pPr>
              <w:jc w:val="center"/>
              <w:rPr>
                <w:sz w:val="18"/>
                <w:szCs w:val="18"/>
              </w:rPr>
            </w:pPr>
            <w:r w:rsidRPr="00E4462A">
              <w:rPr>
                <w:sz w:val="18"/>
                <w:szCs w:val="18"/>
              </w:rPr>
              <w:t>1151 (35.3 %)</w:t>
            </w:r>
          </w:p>
        </w:tc>
        <w:tc>
          <w:tcPr>
            <w:tcW w:w="1304" w:type="dxa"/>
          </w:tcPr>
          <w:p w14:paraId="77AA432C"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864 (22.9 %)</w:t>
            </w:r>
          </w:p>
        </w:tc>
        <w:tc>
          <w:tcPr>
            <w:tcW w:w="1361" w:type="dxa"/>
            <w:hideMark/>
          </w:tcPr>
          <w:p w14:paraId="59DFD483" w14:textId="77777777" w:rsidR="00043193" w:rsidRPr="00E4462A" w:rsidRDefault="00C06EB5" w:rsidP="0099033B">
            <w:pPr>
              <w:jc w:val="center"/>
              <w:rPr>
                <w:sz w:val="18"/>
                <w:szCs w:val="18"/>
              </w:rPr>
            </w:pPr>
            <w:r w:rsidRPr="00E4462A">
              <w:rPr>
                <w:sz w:val="18"/>
                <w:szCs w:val="18"/>
              </w:rPr>
              <w:t xml:space="preserve">  </w:t>
            </w:r>
            <w:r w:rsidR="00043193" w:rsidRPr="00E4462A">
              <w:rPr>
                <w:sz w:val="18"/>
                <w:szCs w:val="18"/>
              </w:rPr>
              <w:t>761 (20.4 %)</w:t>
            </w:r>
          </w:p>
        </w:tc>
      </w:tr>
      <w:tr w:rsidR="00043193" w:rsidRPr="00E4462A" w14:paraId="1268ABFA" w14:textId="77777777" w:rsidTr="0099033B">
        <w:trPr>
          <w:trHeight w:val="255"/>
          <w:jc w:val="center"/>
        </w:trPr>
        <w:tc>
          <w:tcPr>
            <w:tcW w:w="1871" w:type="dxa"/>
            <w:hideMark/>
          </w:tcPr>
          <w:p w14:paraId="4525685B" w14:textId="77777777" w:rsidR="00043193" w:rsidRPr="00E4462A" w:rsidRDefault="00043193" w:rsidP="0099033B">
            <w:pPr>
              <w:jc w:val="center"/>
              <w:rPr>
                <w:sz w:val="18"/>
                <w:szCs w:val="18"/>
              </w:rPr>
            </w:pPr>
            <w:r w:rsidRPr="00E4462A">
              <w:rPr>
                <w:sz w:val="18"/>
                <w:szCs w:val="18"/>
              </w:rPr>
              <w:t>CHNOS compounds</w:t>
            </w:r>
          </w:p>
        </w:tc>
        <w:tc>
          <w:tcPr>
            <w:tcW w:w="1304" w:type="dxa"/>
            <w:hideMark/>
          </w:tcPr>
          <w:p w14:paraId="47214965" w14:textId="75580076" w:rsidR="00043193" w:rsidRPr="00E4462A" w:rsidRDefault="0097430E" w:rsidP="0099033B">
            <w:pPr>
              <w:jc w:val="center"/>
              <w:rPr>
                <w:sz w:val="18"/>
                <w:szCs w:val="18"/>
              </w:rPr>
            </w:pPr>
            <w:r w:rsidRPr="00E4462A">
              <w:rPr>
                <w:sz w:val="18"/>
                <w:szCs w:val="18"/>
              </w:rPr>
              <w:t xml:space="preserve">      </w:t>
            </w:r>
            <w:r w:rsidR="00043193" w:rsidRPr="00E4462A">
              <w:rPr>
                <w:sz w:val="18"/>
                <w:szCs w:val="18"/>
              </w:rPr>
              <w:t>5 (  0.2 %)</w:t>
            </w:r>
          </w:p>
        </w:tc>
        <w:tc>
          <w:tcPr>
            <w:tcW w:w="1304" w:type="dxa"/>
            <w:hideMark/>
          </w:tcPr>
          <w:p w14:paraId="63097577" w14:textId="44108DA1" w:rsidR="00043193" w:rsidRPr="00E4462A" w:rsidRDefault="0097430E" w:rsidP="0099033B">
            <w:pPr>
              <w:jc w:val="center"/>
              <w:rPr>
                <w:sz w:val="18"/>
                <w:szCs w:val="18"/>
              </w:rPr>
            </w:pPr>
            <w:r w:rsidRPr="00E4462A">
              <w:rPr>
                <w:sz w:val="18"/>
                <w:szCs w:val="18"/>
              </w:rPr>
              <w:t xml:space="preserve">      </w:t>
            </w:r>
            <w:r w:rsidR="00043193" w:rsidRPr="00E4462A">
              <w:rPr>
                <w:sz w:val="18"/>
                <w:szCs w:val="18"/>
              </w:rPr>
              <w:t>3 (  0.1 %)</w:t>
            </w:r>
          </w:p>
        </w:tc>
        <w:tc>
          <w:tcPr>
            <w:tcW w:w="1304" w:type="dxa"/>
            <w:hideMark/>
          </w:tcPr>
          <w:p w14:paraId="7CEC44E5" w14:textId="1B6A971C" w:rsidR="00043193" w:rsidRPr="00E4462A" w:rsidRDefault="0097430E" w:rsidP="0099033B">
            <w:pPr>
              <w:jc w:val="center"/>
              <w:rPr>
                <w:sz w:val="18"/>
                <w:szCs w:val="18"/>
              </w:rPr>
            </w:pPr>
            <w:r w:rsidRPr="00E4462A">
              <w:rPr>
                <w:sz w:val="18"/>
                <w:szCs w:val="18"/>
              </w:rPr>
              <w:t xml:space="preserve">      </w:t>
            </w:r>
            <w:r w:rsidR="00043193" w:rsidRPr="00E4462A">
              <w:rPr>
                <w:sz w:val="18"/>
                <w:szCs w:val="18"/>
              </w:rPr>
              <w:t>5 (  0.2%)</w:t>
            </w:r>
          </w:p>
        </w:tc>
        <w:tc>
          <w:tcPr>
            <w:tcW w:w="1304" w:type="dxa"/>
            <w:hideMark/>
          </w:tcPr>
          <w:p w14:paraId="0F1C1043" w14:textId="61C9126A" w:rsidR="00043193" w:rsidRPr="00E4462A" w:rsidRDefault="0097430E" w:rsidP="0099033B">
            <w:pPr>
              <w:jc w:val="center"/>
              <w:rPr>
                <w:sz w:val="18"/>
                <w:szCs w:val="18"/>
              </w:rPr>
            </w:pPr>
            <w:r w:rsidRPr="00E4462A">
              <w:rPr>
                <w:sz w:val="18"/>
                <w:szCs w:val="18"/>
              </w:rPr>
              <w:t xml:space="preserve">      </w:t>
            </w:r>
            <w:r w:rsidR="00043193" w:rsidRPr="00E4462A">
              <w:rPr>
                <w:sz w:val="18"/>
                <w:szCs w:val="18"/>
              </w:rPr>
              <w:t>8 (  0.3 %)</w:t>
            </w:r>
          </w:p>
        </w:tc>
        <w:tc>
          <w:tcPr>
            <w:tcW w:w="1304" w:type="dxa"/>
          </w:tcPr>
          <w:p w14:paraId="42A8929C" w14:textId="77777777" w:rsidR="00043193" w:rsidRPr="00E4462A" w:rsidRDefault="00C06EB5" w:rsidP="0099033B">
            <w:pPr>
              <w:jc w:val="center"/>
              <w:rPr>
                <w:sz w:val="18"/>
                <w:szCs w:val="18"/>
                <w:lang w:val="en-US"/>
              </w:rPr>
            </w:pPr>
            <w:r w:rsidRPr="00E4462A">
              <w:rPr>
                <w:sz w:val="18"/>
                <w:szCs w:val="18"/>
                <w:lang w:val="en-US"/>
              </w:rPr>
              <w:t xml:space="preserve">  </w:t>
            </w:r>
            <w:r w:rsidR="00043193" w:rsidRPr="00E4462A">
              <w:rPr>
                <w:sz w:val="18"/>
                <w:szCs w:val="18"/>
                <w:lang w:val="en-US"/>
              </w:rPr>
              <w:t>375 (10.0 %)</w:t>
            </w:r>
          </w:p>
        </w:tc>
        <w:tc>
          <w:tcPr>
            <w:tcW w:w="1361" w:type="dxa"/>
            <w:hideMark/>
          </w:tcPr>
          <w:p w14:paraId="580D5452" w14:textId="77777777" w:rsidR="00043193" w:rsidRPr="00E4462A" w:rsidRDefault="00C06EB5" w:rsidP="0099033B">
            <w:pPr>
              <w:jc w:val="center"/>
              <w:rPr>
                <w:sz w:val="18"/>
                <w:szCs w:val="18"/>
                <w:lang w:val="en-US"/>
              </w:rPr>
            </w:pPr>
            <w:r w:rsidRPr="00E4462A">
              <w:rPr>
                <w:sz w:val="18"/>
                <w:szCs w:val="18"/>
                <w:lang w:val="en-US"/>
              </w:rPr>
              <w:t xml:space="preserve">  </w:t>
            </w:r>
            <w:r w:rsidR="00043193" w:rsidRPr="00E4462A">
              <w:rPr>
                <w:sz w:val="18"/>
                <w:szCs w:val="18"/>
                <w:lang w:val="en-US"/>
              </w:rPr>
              <w:t>372 (10.0 %)</w:t>
            </w:r>
          </w:p>
        </w:tc>
      </w:tr>
      <w:tr w:rsidR="00043193" w:rsidRPr="00E4462A" w14:paraId="1A53F8D3" w14:textId="77777777" w:rsidTr="0099033B">
        <w:trPr>
          <w:trHeight w:val="465"/>
          <w:jc w:val="center"/>
        </w:trPr>
        <w:tc>
          <w:tcPr>
            <w:tcW w:w="1871" w:type="dxa"/>
            <w:hideMark/>
          </w:tcPr>
          <w:p w14:paraId="549A55A9" w14:textId="77777777" w:rsidR="00043193" w:rsidRPr="00E4462A" w:rsidRDefault="00043193" w:rsidP="0099033B">
            <w:pPr>
              <w:jc w:val="center"/>
              <w:rPr>
                <w:sz w:val="18"/>
                <w:szCs w:val="18"/>
                <w:lang w:val="en-US"/>
              </w:rPr>
            </w:pPr>
            <w:r w:rsidRPr="00E4462A">
              <w:rPr>
                <w:sz w:val="18"/>
                <w:szCs w:val="18"/>
                <w:lang w:val="en-US"/>
              </w:rPr>
              <w:t>total number of assigned mass peaks</w:t>
            </w:r>
          </w:p>
        </w:tc>
        <w:tc>
          <w:tcPr>
            <w:tcW w:w="1304" w:type="dxa"/>
            <w:hideMark/>
          </w:tcPr>
          <w:p w14:paraId="3FD504F1" w14:textId="77777777" w:rsidR="00043193" w:rsidRPr="00E4462A" w:rsidRDefault="00043193" w:rsidP="0099033B">
            <w:pPr>
              <w:jc w:val="center"/>
              <w:rPr>
                <w:sz w:val="18"/>
                <w:szCs w:val="18"/>
                <w:lang w:val="en-US"/>
              </w:rPr>
            </w:pPr>
            <w:r w:rsidRPr="00E4462A">
              <w:rPr>
                <w:sz w:val="18"/>
                <w:szCs w:val="18"/>
                <w:lang w:val="en-US"/>
              </w:rPr>
              <w:t>2745</w:t>
            </w:r>
          </w:p>
        </w:tc>
        <w:tc>
          <w:tcPr>
            <w:tcW w:w="1304" w:type="dxa"/>
            <w:hideMark/>
          </w:tcPr>
          <w:p w14:paraId="6A2B7581" w14:textId="77777777" w:rsidR="00043193" w:rsidRPr="00E4462A" w:rsidRDefault="00043193" w:rsidP="0099033B">
            <w:pPr>
              <w:jc w:val="center"/>
              <w:rPr>
                <w:sz w:val="18"/>
                <w:szCs w:val="18"/>
                <w:lang w:val="en-US"/>
              </w:rPr>
            </w:pPr>
            <w:r w:rsidRPr="00E4462A">
              <w:rPr>
                <w:sz w:val="18"/>
                <w:szCs w:val="18"/>
                <w:lang w:val="en-US"/>
              </w:rPr>
              <w:t>3057</w:t>
            </w:r>
          </w:p>
        </w:tc>
        <w:tc>
          <w:tcPr>
            <w:tcW w:w="1304" w:type="dxa"/>
            <w:hideMark/>
          </w:tcPr>
          <w:p w14:paraId="2047BB8B" w14:textId="77777777" w:rsidR="00043193" w:rsidRPr="00E4462A" w:rsidRDefault="00043193" w:rsidP="0099033B">
            <w:pPr>
              <w:jc w:val="center"/>
              <w:rPr>
                <w:sz w:val="18"/>
                <w:szCs w:val="18"/>
                <w:lang w:val="en-US"/>
              </w:rPr>
            </w:pPr>
            <w:r w:rsidRPr="00E4462A">
              <w:rPr>
                <w:sz w:val="18"/>
                <w:szCs w:val="18"/>
                <w:lang w:val="en-US"/>
              </w:rPr>
              <w:t>2911</w:t>
            </w:r>
          </w:p>
        </w:tc>
        <w:tc>
          <w:tcPr>
            <w:tcW w:w="1304" w:type="dxa"/>
            <w:hideMark/>
          </w:tcPr>
          <w:p w14:paraId="7AF289A0" w14:textId="77777777" w:rsidR="00043193" w:rsidRPr="00E4462A" w:rsidRDefault="00043193" w:rsidP="0099033B">
            <w:pPr>
              <w:jc w:val="center"/>
              <w:rPr>
                <w:sz w:val="18"/>
                <w:szCs w:val="18"/>
                <w:lang w:val="en-US"/>
              </w:rPr>
            </w:pPr>
            <w:r w:rsidRPr="00E4462A">
              <w:rPr>
                <w:sz w:val="18"/>
                <w:szCs w:val="18"/>
                <w:lang w:val="en-US"/>
              </w:rPr>
              <w:t>3263</w:t>
            </w:r>
          </w:p>
        </w:tc>
        <w:tc>
          <w:tcPr>
            <w:tcW w:w="1304" w:type="dxa"/>
          </w:tcPr>
          <w:p w14:paraId="4596BFED" w14:textId="77777777" w:rsidR="00043193" w:rsidRPr="00E4462A" w:rsidRDefault="00043193" w:rsidP="0099033B">
            <w:pPr>
              <w:jc w:val="center"/>
              <w:rPr>
                <w:sz w:val="18"/>
                <w:szCs w:val="18"/>
                <w:lang w:val="en-US"/>
              </w:rPr>
            </w:pPr>
            <w:r w:rsidRPr="00E4462A">
              <w:rPr>
                <w:sz w:val="18"/>
                <w:szCs w:val="18"/>
                <w:lang w:val="en-US"/>
              </w:rPr>
              <w:t>3766</w:t>
            </w:r>
          </w:p>
        </w:tc>
        <w:tc>
          <w:tcPr>
            <w:tcW w:w="1361" w:type="dxa"/>
            <w:hideMark/>
          </w:tcPr>
          <w:p w14:paraId="434DCA3A" w14:textId="77777777" w:rsidR="00043193" w:rsidRPr="00E4462A" w:rsidRDefault="00043193" w:rsidP="0099033B">
            <w:pPr>
              <w:jc w:val="center"/>
              <w:rPr>
                <w:sz w:val="18"/>
                <w:szCs w:val="18"/>
                <w:lang w:val="en-US"/>
              </w:rPr>
            </w:pPr>
            <w:r w:rsidRPr="00E4462A">
              <w:rPr>
                <w:sz w:val="18"/>
                <w:szCs w:val="18"/>
                <w:lang w:val="en-US"/>
              </w:rPr>
              <w:t>3734</w:t>
            </w:r>
          </w:p>
        </w:tc>
      </w:tr>
      <w:tr w:rsidR="00043193" w:rsidRPr="00E4462A" w14:paraId="026B14D1" w14:textId="77777777" w:rsidTr="0099033B">
        <w:trPr>
          <w:trHeight w:val="270"/>
          <w:jc w:val="center"/>
        </w:trPr>
        <w:tc>
          <w:tcPr>
            <w:tcW w:w="1871" w:type="dxa"/>
            <w:hideMark/>
          </w:tcPr>
          <w:p w14:paraId="227D83C1" w14:textId="77777777" w:rsidR="00043193" w:rsidRPr="00E4462A" w:rsidRDefault="00043193" w:rsidP="0099033B">
            <w:pPr>
              <w:jc w:val="center"/>
              <w:rPr>
                <w:sz w:val="18"/>
                <w:szCs w:val="18"/>
                <w:lang w:val="en-US"/>
              </w:rPr>
            </w:pPr>
            <w:r w:rsidRPr="00E4462A">
              <w:rPr>
                <w:sz w:val="18"/>
                <w:szCs w:val="18"/>
                <w:lang w:val="en-US"/>
              </w:rPr>
              <w:t>total number of mass peaks</w:t>
            </w:r>
          </w:p>
        </w:tc>
        <w:tc>
          <w:tcPr>
            <w:tcW w:w="1304" w:type="dxa"/>
            <w:hideMark/>
          </w:tcPr>
          <w:p w14:paraId="4434596E" w14:textId="77777777" w:rsidR="00043193" w:rsidRPr="00E4462A" w:rsidRDefault="00043193" w:rsidP="0099033B">
            <w:pPr>
              <w:jc w:val="center"/>
              <w:rPr>
                <w:sz w:val="18"/>
                <w:szCs w:val="18"/>
                <w:lang w:val="en-US"/>
              </w:rPr>
            </w:pPr>
            <w:r w:rsidRPr="00E4462A">
              <w:rPr>
                <w:sz w:val="18"/>
                <w:szCs w:val="18"/>
                <w:lang w:val="en-US"/>
              </w:rPr>
              <w:t>9830</w:t>
            </w:r>
          </w:p>
        </w:tc>
        <w:tc>
          <w:tcPr>
            <w:tcW w:w="1304" w:type="dxa"/>
            <w:hideMark/>
          </w:tcPr>
          <w:p w14:paraId="2757B465" w14:textId="77777777" w:rsidR="00043193" w:rsidRPr="00E4462A" w:rsidRDefault="00043193" w:rsidP="0099033B">
            <w:pPr>
              <w:jc w:val="center"/>
              <w:rPr>
                <w:sz w:val="18"/>
                <w:szCs w:val="18"/>
                <w:lang w:val="en-US"/>
              </w:rPr>
            </w:pPr>
            <w:r w:rsidRPr="00E4462A">
              <w:rPr>
                <w:sz w:val="18"/>
                <w:szCs w:val="18"/>
                <w:lang w:val="en-US"/>
              </w:rPr>
              <w:t>10315</w:t>
            </w:r>
          </w:p>
        </w:tc>
        <w:tc>
          <w:tcPr>
            <w:tcW w:w="1304" w:type="dxa"/>
            <w:hideMark/>
          </w:tcPr>
          <w:p w14:paraId="6AB03B97" w14:textId="77777777" w:rsidR="00043193" w:rsidRPr="00E4462A" w:rsidRDefault="00043193" w:rsidP="0099033B">
            <w:pPr>
              <w:jc w:val="center"/>
              <w:rPr>
                <w:sz w:val="18"/>
                <w:szCs w:val="18"/>
                <w:lang w:val="en-US"/>
              </w:rPr>
            </w:pPr>
            <w:r w:rsidRPr="00E4462A">
              <w:rPr>
                <w:sz w:val="18"/>
                <w:szCs w:val="18"/>
                <w:lang w:val="en-US"/>
              </w:rPr>
              <w:t>10588</w:t>
            </w:r>
          </w:p>
        </w:tc>
        <w:tc>
          <w:tcPr>
            <w:tcW w:w="1304" w:type="dxa"/>
            <w:hideMark/>
          </w:tcPr>
          <w:p w14:paraId="05EAF2D7" w14:textId="77777777" w:rsidR="00043193" w:rsidRPr="00E4462A" w:rsidRDefault="00043193" w:rsidP="0099033B">
            <w:pPr>
              <w:jc w:val="center"/>
              <w:rPr>
                <w:sz w:val="18"/>
                <w:szCs w:val="18"/>
              </w:rPr>
            </w:pPr>
            <w:r w:rsidRPr="00E4462A">
              <w:rPr>
                <w:sz w:val="18"/>
                <w:szCs w:val="18"/>
              </w:rPr>
              <w:t>10818</w:t>
            </w:r>
          </w:p>
        </w:tc>
        <w:tc>
          <w:tcPr>
            <w:tcW w:w="1304" w:type="dxa"/>
          </w:tcPr>
          <w:p w14:paraId="2172D38F" w14:textId="77777777" w:rsidR="00043193" w:rsidRPr="00E4462A" w:rsidRDefault="00043193" w:rsidP="0099033B">
            <w:pPr>
              <w:jc w:val="center"/>
              <w:rPr>
                <w:sz w:val="18"/>
                <w:szCs w:val="18"/>
              </w:rPr>
            </w:pPr>
            <w:r w:rsidRPr="00E4462A">
              <w:rPr>
                <w:sz w:val="18"/>
                <w:szCs w:val="18"/>
              </w:rPr>
              <w:t>11692</w:t>
            </w:r>
          </w:p>
        </w:tc>
        <w:tc>
          <w:tcPr>
            <w:tcW w:w="1361" w:type="dxa"/>
            <w:hideMark/>
          </w:tcPr>
          <w:p w14:paraId="4D2AEA4B" w14:textId="77777777" w:rsidR="00043193" w:rsidRPr="00E4462A" w:rsidRDefault="00043193" w:rsidP="0099033B">
            <w:pPr>
              <w:jc w:val="center"/>
              <w:rPr>
                <w:sz w:val="18"/>
                <w:szCs w:val="18"/>
              </w:rPr>
            </w:pPr>
            <w:r w:rsidRPr="00E4462A">
              <w:rPr>
                <w:sz w:val="18"/>
                <w:szCs w:val="18"/>
              </w:rPr>
              <w:t>10989</w:t>
            </w:r>
          </w:p>
        </w:tc>
      </w:tr>
      <w:tr w:rsidR="00043193" w:rsidRPr="00E4462A" w14:paraId="19292D10" w14:textId="77777777" w:rsidTr="0099033B">
        <w:trPr>
          <w:trHeight w:val="735"/>
          <w:jc w:val="center"/>
        </w:trPr>
        <w:tc>
          <w:tcPr>
            <w:tcW w:w="1871" w:type="dxa"/>
            <w:hideMark/>
          </w:tcPr>
          <w:p w14:paraId="610A5A09" w14:textId="77777777" w:rsidR="00043193" w:rsidRPr="00E4462A" w:rsidRDefault="00043193" w:rsidP="0099033B">
            <w:pPr>
              <w:jc w:val="center"/>
              <w:rPr>
                <w:sz w:val="18"/>
                <w:szCs w:val="18"/>
                <w:lang w:val="en-US"/>
              </w:rPr>
            </w:pPr>
            <w:r w:rsidRPr="00E4462A">
              <w:rPr>
                <w:sz w:val="18"/>
                <w:szCs w:val="18"/>
                <w:lang w:val="en-US"/>
              </w:rPr>
              <w:t>percent of mass peaks attributed to CHO, CHOS, CHNO and CHNOS compositions</w:t>
            </w:r>
          </w:p>
        </w:tc>
        <w:tc>
          <w:tcPr>
            <w:tcW w:w="1304" w:type="dxa"/>
            <w:hideMark/>
          </w:tcPr>
          <w:p w14:paraId="652CE961" w14:textId="77777777" w:rsidR="00043193" w:rsidRPr="00E4462A" w:rsidRDefault="00043193" w:rsidP="0099033B">
            <w:pPr>
              <w:jc w:val="center"/>
              <w:rPr>
                <w:sz w:val="18"/>
                <w:szCs w:val="18"/>
              </w:rPr>
            </w:pPr>
            <w:r w:rsidRPr="00E4462A">
              <w:rPr>
                <w:sz w:val="18"/>
                <w:szCs w:val="18"/>
              </w:rPr>
              <w:t>28%</w:t>
            </w:r>
          </w:p>
        </w:tc>
        <w:tc>
          <w:tcPr>
            <w:tcW w:w="1304" w:type="dxa"/>
            <w:hideMark/>
          </w:tcPr>
          <w:p w14:paraId="0702247B" w14:textId="77777777" w:rsidR="00043193" w:rsidRPr="00E4462A" w:rsidRDefault="00043193" w:rsidP="0099033B">
            <w:pPr>
              <w:jc w:val="center"/>
              <w:rPr>
                <w:sz w:val="18"/>
                <w:szCs w:val="18"/>
              </w:rPr>
            </w:pPr>
            <w:r w:rsidRPr="00E4462A">
              <w:rPr>
                <w:sz w:val="18"/>
                <w:szCs w:val="18"/>
              </w:rPr>
              <w:t>30%</w:t>
            </w:r>
          </w:p>
        </w:tc>
        <w:tc>
          <w:tcPr>
            <w:tcW w:w="1304" w:type="dxa"/>
            <w:hideMark/>
          </w:tcPr>
          <w:p w14:paraId="783E27EB" w14:textId="77777777" w:rsidR="00043193" w:rsidRPr="00E4462A" w:rsidRDefault="00043193" w:rsidP="0099033B">
            <w:pPr>
              <w:jc w:val="center"/>
              <w:rPr>
                <w:sz w:val="18"/>
                <w:szCs w:val="18"/>
              </w:rPr>
            </w:pPr>
            <w:r w:rsidRPr="00E4462A">
              <w:rPr>
                <w:sz w:val="18"/>
                <w:szCs w:val="18"/>
              </w:rPr>
              <w:t>27.5%</w:t>
            </w:r>
          </w:p>
        </w:tc>
        <w:tc>
          <w:tcPr>
            <w:tcW w:w="1304" w:type="dxa"/>
            <w:hideMark/>
          </w:tcPr>
          <w:p w14:paraId="038E6D24" w14:textId="77777777" w:rsidR="00043193" w:rsidRPr="00E4462A" w:rsidRDefault="00043193" w:rsidP="0099033B">
            <w:pPr>
              <w:jc w:val="center"/>
              <w:rPr>
                <w:sz w:val="18"/>
                <w:szCs w:val="18"/>
              </w:rPr>
            </w:pPr>
            <w:r w:rsidRPr="00E4462A">
              <w:rPr>
                <w:sz w:val="18"/>
                <w:szCs w:val="18"/>
              </w:rPr>
              <w:t>30%</w:t>
            </w:r>
          </w:p>
        </w:tc>
        <w:tc>
          <w:tcPr>
            <w:tcW w:w="1304" w:type="dxa"/>
          </w:tcPr>
          <w:p w14:paraId="09FDC0D8" w14:textId="77777777" w:rsidR="00043193" w:rsidRPr="00E4462A" w:rsidRDefault="00043193" w:rsidP="0099033B">
            <w:pPr>
              <w:jc w:val="center"/>
              <w:rPr>
                <w:sz w:val="18"/>
                <w:szCs w:val="18"/>
              </w:rPr>
            </w:pPr>
            <w:r w:rsidRPr="00E4462A">
              <w:rPr>
                <w:sz w:val="18"/>
                <w:szCs w:val="18"/>
              </w:rPr>
              <w:t>32%</w:t>
            </w:r>
          </w:p>
        </w:tc>
        <w:tc>
          <w:tcPr>
            <w:tcW w:w="1361" w:type="dxa"/>
            <w:hideMark/>
          </w:tcPr>
          <w:p w14:paraId="66DBCBE0" w14:textId="77777777" w:rsidR="00043193" w:rsidRPr="00E4462A" w:rsidRDefault="00043193" w:rsidP="0099033B">
            <w:pPr>
              <w:jc w:val="center"/>
              <w:rPr>
                <w:sz w:val="18"/>
                <w:szCs w:val="18"/>
              </w:rPr>
            </w:pPr>
            <w:r w:rsidRPr="00E4462A">
              <w:rPr>
                <w:sz w:val="18"/>
                <w:szCs w:val="18"/>
              </w:rPr>
              <w:t>34%</w:t>
            </w:r>
          </w:p>
        </w:tc>
      </w:tr>
      <w:tr w:rsidR="00043193" w:rsidRPr="00E4462A" w14:paraId="7DB78411" w14:textId="77777777" w:rsidTr="0099033B">
        <w:trPr>
          <w:trHeight w:val="255"/>
          <w:jc w:val="center"/>
        </w:trPr>
        <w:tc>
          <w:tcPr>
            <w:tcW w:w="1871" w:type="dxa"/>
            <w:hideMark/>
          </w:tcPr>
          <w:p w14:paraId="5BB28CBD" w14:textId="77777777" w:rsidR="00043193" w:rsidRPr="00E4462A" w:rsidRDefault="00043193" w:rsidP="0099033B">
            <w:pPr>
              <w:jc w:val="center"/>
              <w:rPr>
                <w:sz w:val="18"/>
                <w:szCs w:val="18"/>
              </w:rPr>
            </w:pPr>
            <w:r w:rsidRPr="00E4462A">
              <w:rPr>
                <w:sz w:val="18"/>
                <w:szCs w:val="18"/>
              </w:rPr>
              <w:t>average H [%]</w:t>
            </w:r>
          </w:p>
        </w:tc>
        <w:tc>
          <w:tcPr>
            <w:tcW w:w="1304" w:type="dxa"/>
            <w:noWrap/>
            <w:hideMark/>
          </w:tcPr>
          <w:p w14:paraId="6BCE04E6" w14:textId="14C0E05D" w:rsidR="00043193" w:rsidRPr="00E4462A" w:rsidRDefault="0097430E" w:rsidP="0097430E">
            <w:pPr>
              <w:jc w:val="center"/>
              <w:rPr>
                <w:sz w:val="18"/>
                <w:szCs w:val="18"/>
              </w:rPr>
            </w:pPr>
            <w:r w:rsidRPr="00E4462A">
              <w:rPr>
                <w:sz w:val="18"/>
                <w:szCs w:val="18"/>
              </w:rPr>
              <w:t>40.66</w:t>
            </w:r>
          </w:p>
        </w:tc>
        <w:tc>
          <w:tcPr>
            <w:tcW w:w="1304" w:type="dxa"/>
            <w:noWrap/>
            <w:hideMark/>
          </w:tcPr>
          <w:p w14:paraId="599EEE61" w14:textId="466C13AC" w:rsidR="00043193" w:rsidRPr="00E4462A" w:rsidRDefault="0097430E" w:rsidP="0097430E">
            <w:pPr>
              <w:jc w:val="center"/>
              <w:rPr>
                <w:sz w:val="18"/>
                <w:szCs w:val="18"/>
              </w:rPr>
            </w:pPr>
            <w:r w:rsidRPr="00E4462A">
              <w:rPr>
                <w:sz w:val="18"/>
                <w:szCs w:val="18"/>
              </w:rPr>
              <w:t>41.41</w:t>
            </w:r>
          </w:p>
        </w:tc>
        <w:tc>
          <w:tcPr>
            <w:tcW w:w="1304" w:type="dxa"/>
            <w:noWrap/>
            <w:hideMark/>
          </w:tcPr>
          <w:p w14:paraId="412BDEC6" w14:textId="3B3B76B1" w:rsidR="00043193" w:rsidRPr="00E4462A" w:rsidRDefault="0097430E" w:rsidP="0097430E">
            <w:pPr>
              <w:jc w:val="center"/>
              <w:rPr>
                <w:sz w:val="18"/>
                <w:szCs w:val="18"/>
              </w:rPr>
            </w:pPr>
            <w:r w:rsidRPr="00E4462A">
              <w:rPr>
                <w:sz w:val="18"/>
                <w:szCs w:val="18"/>
              </w:rPr>
              <w:t>39.34</w:t>
            </w:r>
          </w:p>
        </w:tc>
        <w:tc>
          <w:tcPr>
            <w:tcW w:w="1304" w:type="dxa"/>
            <w:noWrap/>
            <w:hideMark/>
          </w:tcPr>
          <w:p w14:paraId="4B0E1C1C" w14:textId="73452988" w:rsidR="00043193" w:rsidRPr="00E4462A" w:rsidRDefault="0097430E" w:rsidP="0097430E">
            <w:pPr>
              <w:jc w:val="center"/>
              <w:rPr>
                <w:sz w:val="18"/>
                <w:szCs w:val="18"/>
              </w:rPr>
            </w:pPr>
            <w:r w:rsidRPr="00E4462A">
              <w:rPr>
                <w:sz w:val="18"/>
                <w:szCs w:val="18"/>
              </w:rPr>
              <w:t>39.54</w:t>
            </w:r>
          </w:p>
        </w:tc>
        <w:tc>
          <w:tcPr>
            <w:tcW w:w="1304" w:type="dxa"/>
          </w:tcPr>
          <w:p w14:paraId="77593144" w14:textId="3F574051" w:rsidR="00043193" w:rsidRPr="00E4462A" w:rsidRDefault="0097430E" w:rsidP="0097430E">
            <w:pPr>
              <w:jc w:val="center"/>
              <w:rPr>
                <w:sz w:val="18"/>
                <w:szCs w:val="18"/>
              </w:rPr>
            </w:pPr>
            <w:r w:rsidRPr="00E4462A">
              <w:rPr>
                <w:sz w:val="18"/>
                <w:szCs w:val="18"/>
              </w:rPr>
              <w:t>40.82</w:t>
            </w:r>
          </w:p>
        </w:tc>
        <w:tc>
          <w:tcPr>
            <w:tcW w:w="1361" w:type="dxa"/>
            <w:noWrap/>
            <w:hideMark/>
          </w:tcPr>
          <w:p w14:paraId="33C3E867" w14:textId="114B2B49" w:rsidR="00043193" w:rsidRPr="00E4462A" w:rsidRDefault="0097430E" w:rsidP="0099033B">
            <w:pPr>
              <w:jc w:val="center"/>
              <w:rPr>
                <w:sz w:val="18"/>
                <w:szCs w:val="18"/>
              </w:rPr>
            </w:pPr>
            <w:r w:rsidRPr="00E4462A">
              <w:rPr>
                <w:sz w:val="18"/>
                <w:szCs w:val="18"/>
              </w:rPr>
              <w:t>41.14</w:t>
            </w:r>
          </w:p>
        </w:tc>
      </w:tr>
      <w:tr w:rsidR="00043193" w:rsidRPr="00E4462A" w14:paraId="228C0190" w14:textId="77777777" w:rsidTr="0099033B">
        <w:trPr>
          <w:trHeight w:val="70"/>
          <w:jc w:val="center"/>
        </w:trPr>
        <w:tc>
          <w:tcPr>
            <w:tcW w:w="1871" w:type="dxa"/>
            <w:hideMark/>
          </w:tcPr>
          <w:p w14:paraId="0452796A" w14:textId="77777777" w:rsidR="00043193" w:rsidRPr="00E4462A" w:rsidRDefault="00043193" w:rsidP="0099033B">
            <w:pPr>
              <w:jc w:val="center"/>
              <w:rPr>
                <w:sz w:val="18"/>
                <w:szCs w:val="18"/>
              </w:rPr>
            </w:pPr>
            <w:r w:rsidRPr="00E4462A">
              <w:rPr>
                <w:sz w:val="18"/>
                <w:szCs w:val="18"/>
              </w:rPr>
              <w:t>average C [%]</w:t>
            </w:r>
          </w:p>
        </w:tc>
        <w:tc>
          <w:tcPr>
            <w:tcW w:w="1304" w:type="dxa"/>
            <w:noWrap/>
            <w:hideMark/>
          </w:tcPr>
          <w:p w14:paraId="6B088716" w14:textId="0BC84A6B" w:rsidR="00043193" w:rsidRPr="00E4462A" w:rsidRDefault="0097430E" w:rsidP="0097430E">
            <w:pPr>
              <w:jc w:val="center"/>
              <w:rPr>
                <w:sz w:val="18"/>
                <w:szCs w:val="18"/>
              </w:rPr>
            </w:pPr>
            <w:r w:rsidRPr="00E4462A">
              <w:rPr>
                <w:sz w:val="18"/>
                <w:szCs w:val="18"/>
              </w:rPr>
              <w:t>38.12</w:t>
            </w:r>
          </w:p>
        </w:tc>
        <w:tc>
          <w:tcPr>
            <w:tcW w:w="1304" w:type="dxa"/>
            <w:noWrap/>
            <w:hideMark/>
          </w:tcPr>
          <w:p w14:paraId="41333DF2" w14:textId="1DDB9582" w:rsidR="00043193" w:rsidRPr="00E4462A" w:rsidRDefault="0097430E" w:rsidP="0097430E">
            <w:pPr>
              <w:jc w:val="center"/>
              <w:rPr>
                <w:sz w:val="18"/>
                <w:szCs w:val="18"/>
              </w:rPr>
            </w:pPr>
            <w:r w:rsidRPr="00E4462A">
              <w:rPr>
                <w:sz w:val="18"/>
                <w:szCs w:val="18"/>
              </w:rPr>
              <w:t>37.75</w:t>
            </w:r>
          </w:p>
        </w:tc>
        <w:tc>
          <w:tcPr>
            <w:tcW w:w="1304" w:type="dxa"/>
            <w:noWrap/>
            <w:hideMark/>
          </w:tcPr>
          <w:p w14:paraId="65DC3691" w14:textId="0C035D45" w:rsidR="00043193" w:rsidRPr="00E4462A" w:rsidRDefault="0097430E" w:rsidP="0097430E">
            <w:pPr>
              <w:jc w:val="center"/>
              <w:rPr>
                <w:sz w:val="18"/>
                <w:szCs w:val="18"/>
              </w:rPr>
            </w:pPr>
            <w:r w:rsidRPr="00E4462A">
              <w:rPr>
                <w:sz w:val="18"/>
                <w:szCs w:val="18"/>
              </w:rPr>
              <w:t>38.77</w:t>
            </w:r>
          </w:p>
        </w:tc>
        <w:tc>
          <w:tcPr>
            <w:tcW w:w="1304" w:type="dxa"/>
            <w:noWrap/>
            <w:hideMark/>
          </w:tcPr>
          <w:p w14:paraId="4C2647B8" w14:textId="781DC6A7" w:rsidR="00043193" w:rsidRPr="00E4462A" w:rsidRDefault="0097430E" w:rsidP="0097430E">
            <w:pPr>
              <w:jc w:val="center"/>
              <w:rPr>
                <w:sz w:val="18"/>
                <w:szCs w:val="18"/>
              </w:rPr>
            </w:pPr>
            <w:r w:rsidRPr="00E4462A">
              <w:rPr>
                <w:sz w:val="18"/>
                <w:szCs w:val="18"/>
              </w:rPr>
              <w:t>38.73</w:t>
            </w:r>
          </w:p>
        </w:tc>
        <w:tc>
          <w:tcPr>
            <w:tcW w:w="1304" w:type="dxa"/>
          </w:tcPr>
          <w:p w14:paraId="739A3F06" w14:textId="295AE36A" w:rsidR="00043193" w:rsidRPr="00E4462A" w:rsidRDefault="0097430E" w:rsidP="0097430E">
            <w:pPr>
              <w:jc w:val="center"/>
              <w:rPr>
                <w:sz w:val="18"/>
                <w:szCs w:val="18"/>
              </w:rPr>
            </w:pPr>
            <w:r w:rsidRPr="00E4462A">
              <w:rPr>
                <w:sz w:val="18"/>
                <w:szCs w:val="18"/>
              </w:rPr>
              <w:t>37.14</w:t>
            </w:r>
          </w:p>
        </w:tc>
        <w:tc>
          <w:tcPr>
            <w:tcW w:w="1361" w:type="dxa"/>
            <w:noWrap/>
            <w:hideMark/>
          </w:tcPr>
          <w:p w14:paraId="7F70B992" w14:textId="1ED31EF8" w:rsidR="00043193" w:rsidRPr="00E4462A" w:rsidRDefault="0097430E" w:rsidP="0099033B">
            <w:pPr>
              <w:jc w:val="center"/>
              <w:rPr>
                <w:sz w:val="18"/>
                <w:szCs w:val="18"/>
              </w:rPr>
            </w:pPr>
            <w:r w:rsidRPr="00E4462A">
              <w:rPr>
                <w:sz w:val="18"/>
                <w:szCs w:val="18"/>
              </w:rPr>
              <w:t>39.39</w:t>
            </w:r>
          </w:p>
        </w:tc>
      </w:tr>
      <w:tr w:rsidR="00043193" w:rsidRPr="00E4462A" w14:paraId="302B8407" w14:textId="77777777" w:rsidTr="0099033B">
        <w:trPr>
          <w:trHeight w:val="255"/>
          <w:jc w:val="center"/>
        </w:trPr>
        <w:tc>
          <w:tcPr>
            <w:tcW w:w="1871" w:type="dxa"/>
            <w:hideMark/>
          </w:tcPr>
          <w:p w14:paraId="7024BDF6" w14:textId="77777777" w:rsidR="00043193" w:rsidRPr="00E4462A" w:rsidRDefault="00043193" w:rsidP="0099033B">
            <w:pPr>
              <w:jc w:val="center"/>
              <w:rPr>
                <w:sz w:val="18"/>
                <w:szCs w:val="18"/>
              </w:rPr>
            </w:pPr>
            <w:r w:rsidRPr="00E4462A">
              <w:rPr>
                <w:sz w:val="18"/>
                <w:szCs w:val="18"/>
              </w:rPr>
              <w:t>average O [%]</w:t>
            </w:r>
          </w:p>
        </w:tc>
        <w:tc>
          <w:tcPr>
            <w:tcW w:w="1304" w:type="dxa"/>
            <w:noWrap/>
            <w:hideMark/>
          </w:tcPr>
          <w:p w14:paraId="4C987F9A" w14:textId="6DB08D2F" w:rsidR="00043193" w:rsidRPr="00E4462A" w:rsidRDefault="0097430E" w:rsidP="0097430E">
            <w:pPr>
              <w:jc w:val="center"/>
              <w:rPr>
                <w:sz w:val="18"/>
                <w:szCs w:val="18"/>
              </w:rPr>
            </w:pPr>
            <w:r w:rsidRPr="00E4462A">
              <w:rPr>
                <w:sz w:val="18"/>
                <w:szCs w:val="18"/>
              </w:rPr>
              <w:t>20.69</w:t>
            </w:r>
          </w:p>
        </w:tc>
        <w:tc>
          <w:tcPr>
            <w:tcW w:w="1304" w:type="dxa"/>
            <w:noWrap/>
            <w:hideMark/>
          </w:tcPr>
          <w:p w14:paraId="11640CE4" w14:textId="136EC3ED" w:rsidR="00043193" w:rsidRPr="00E4462A" w:rsidRDefault="0097430E" w:rsidP="0097430E">
            <w:pPr>
              <w:jc w:val="center"/>
              <w:rPr>
                <w:sz w:val="18"/>
                <w:szCs w:val="18"/>
              </w:rPr>
            </w:pPr>
            <w:r w:rsidRPr="00E4462A">
              <w:rPr>
                <w:sz w:val="18"/>
                <w:szCs w:val="18"/>
              </w:rPr>
              <w:t>20.33</w:t>
            </w:r>
          </w:p>
        </w:tc>
        <w:tc>
          <w:tcPr>
            <w:tcW w:w="1304" w:type="dxa"/>
            <w:noWrap/>
            <w:hideMark/>
          </w:tcPr>
          <w:p w14:paraId="464F476B" w14:textId="293A8984" w:rsidR="00043193" w:rsidRPr="00E4462A" w:rsidRDefault="0097430E" w:rsidP="0097430E">
            <w:pPr>
              <w:jc w:val="center"/>
              <w:rPr>
                <w:sz w:val="18"/>
                <w:szCs w:val="18"/>
              </w:rPr>
            </w:pPr>
            <w:r w:rsidRPr="00E4462A">
              <w:rPr>
                <w:sz w:val="18"/>
                <w:szCs w:val="18"/>
              </w:rPr>
              <w:t>21.45</w:t>
            </w:r>
          </w:p>
        </w:tc>
        <w:tc>
          <w:tcPr>
            <w:tcW w:w="1304" w:type="dxa"/>
            <w:noWrap/>
            <w:hideMark/>
          </w:tcPr>
          <w:p w14:paraId="6A739D60" w14:textId="1765D531" w:rsidR="00043193" w:rsidRPr="00E4462A" w:rsidRDefault="0097430E" w:rsidP="0097430E">
            <w:pPr>
              <w:jc w:val="center"/>
              <w:rPr>
                <w:sz w:val="18"/>
                <w:szCs w:val="18"/>
              </w:rPr>
            </w:pPr>
            <w:r w:rsidRPr="00E4462A">
              <w:rPr>
                <w:sz w:val="18"/>
                <w:szCs w:val="18"/>
              </w:rPr>
              <w:t>21.27</w:t>
            </w:r>
          </w:p>
        </w:tc>
        <w:tc>
          <w:tcPr>
            <w:tcW w:w="1304" w:type="dxa"/>
          </w:tcPr>
          <w:p w14:paraId="70694CFB" w14:textId="6727A412" w:rsidR="00043193" w:rsidRPr="00E4462A" w:rsidRDefault="0097430E" w:rsidP="0097430E">
            <w:pPr>
              <w:jc w:val="center"/>
              <w:rPr>
                <w:sz w:val="18"/>
                <w:szCs w:val="18"/>
              </w:rPr>
            </w:pPr>
            <w:r w:rsidRPr="00E4462A">
              <w:rPr>
                <w:sz w:val="18"/>
                <w:szCs w:val="18"/>
              </w:rPr>
              <w:t>21.06</w:t>
            </w:r>
          </w:p>
        </w:tc>
        <w:tc>
          <w:tcPr>
            <w:tcW w:w="1361" w:type="dxa"/>
            <w:noWrap/>
            <w:hideMark/>
          </w:tcPr>
          <w:p w14:paraId="12BB229C" w14:textId="5E5DC828" w:rsidR="00043193" w:rsidRPr="00E4462A" w:rsidRDefault="0097430E" w:rsidP="0099033B">
            <w:pPr>
              <w:jc w:val="center"/>
              <w:rPr>
                <w:sz w:val="18"/>
                <w:szCs w:val="18"/>
              </w:rPr>
            </w:pPr>
            <w:r w:rsidRPr="00E4462A">
              <w:rPr>
                <w:sz w:val="18"/>
                <w:szCs w:val="18"/>
              </w:rPr>
              <w:t>18.36</w:t>
            </w:r>
          </w:p>
        </w:tc>
      </w:tr>
      <w:tr w:rsidR="00043193" w:rsidRPr="00E4462A" w14:paraId="0D7A172A" w14:textId="77777777" w:rsidTr="0099033B">
        <w:trPr>
          <w:trHeight w:val="255"/>
          <w:jc w:val="center"/>
        </w:trPr>
        <w:tc>
          <w:tcPr>
            <w:tcW w:w="1871" w:type="dxa"/>
            <w:hideMark/>
          </w:tcPr>
          <w:p w14:paraId="1074D3B7" w14:textId="77777777" w:rsidR="00043193" w:rsidRPr="00E4462A" w:rsidRDefault="00043193" w:rsidP="0099033B">
            <w:pPr>
              <w:jc w:val="center"/>
              <w:rPr>
                <w:sz w:val="18"/>
                <w:szCs w:val="18"/>
              </w:rPr>
            </w:pPr>
            <w:r w:rsidRPr="00E4462A">
              <w:rPr>
                <w:sz w:val="18"/>
                <w:szCs w:val="18"/>
              </w:rPr>
              <w:t>average N [%]</w:t>
            </w:r>
          </w:p>
        </w:tc>
        <w:tc>
          <w:tcPr>
            <w:tcW w:w="1304" w:type="dxa"/>
            <w:noWrap/>
            <w:hideMark/>
          </w:tcPr>
          <w:p w14:paraId="6CEADEC8" w14:textId="4ED49041"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38</w:t>
            </w:r>
          </w:p>
        </w:tc>
        <w:tc>
          <w:tcPr>
            <w:tcW w:w="1304" w:type="dxa"/>
            <w:noWrap/>
            <w:hideMark/>
          </w:tcPr>
          <w:p w14:paraId="09718D8E" w14:textId="4BAEF2C4"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38</w:t>
            </w:r>
          </w:p>
        </w:tc>
        <w:tc>
          <w:tcPr>
            <w:tcW w:w="1304" w:type="dxa"/>
            <w:noWrap/>
            <w:hideMark/>
          </w:tcPr>
          <w:p w14:paraId="64502D77" w14:textId="11A42B4A"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40</w:t>
            </w:r>
          </w:p>
        </w:tc>
        <w:tc>
          <w:tcPr>
            <w:tcW w:w="1304" w:type="dxa"/>
            <w:noWrap/>
            <w:hideMark/>
          </w:tcPr>
          <w:p w14:paraId="72ED26DD" w14:textId="621D6071"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42</w:t>
            </w:r>
          </w:p>
        </w:tc>
        <w:tc>
          <w:tcPr>
            <w:tcW w:w="1304" w:type="dxa"/>
          </w:tcPr>
          <w:p w14:paraId="0EF8D710" w14:textId="1C09AF7C"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3</w:t>
            </w:r>
            <w:r w:rsidR="00043193" w:rsidRPr="00E4462A">
              <w:rPr>
                <w:sz w:val="18"/>
                <w:szCs w:val="18"/>
              </w:rPr>
              <w:t>7</w:t>
            </w:r>
          </w:p>
        </w:tc>
        <w:tc>
          <w:tcPr>
            <w:tcW w:w="1361" w:type="dxa"/>
            <w:noWrap/>
            <w:hideMark/>
          </w:tcPr>
          <w:p w14:paraId="7B5F2E24" w14:textId="3A9DF91F"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27</w:t>
            </w:r>
          </w:p>
        </w:tc>
      </w:tr>
      <w:tr w:rsidR="00043193" w:rsidRPr="00E4462A" w14:paraId="66ED4DD3" w14:textId="77777777" w:rsidTr="0099033B">
        <w:trPr>
          <w:trHeight w:val="255"/>
          <w:jc w:val="center"/>
        </w:trPr>
        <w:tc>
          <w:tcPr>
            <w:tcW w:w="1871" w:type="dxa"/>
            <w:hideMark/>
          </w:tcPr>
          <w:p w14:paraId="1FD751F1" w14:textId="77777777" w:rsidR="00043193" w:rsidRPr="00E4462A" w:rsidRDefault="00043193" w:rsidP="0099033B">
            <w:pPr>
              <w:jc w:val="center"/>
              <w:rPr>
                <w:sz w:val="18"/>
                <w:szCs w:val="18"/>
              </w:rPr>
            </w:pPr>
            <w:r w:rsidRPr="00E4462A">
              <w:rPr>
                <w:sz w:val="18"/>
                <w:szCs w:val="18"/>
              </w:rPr>
              <w:t>average S [%]</w:t>
            </w:r>
          </w:p>
        </w:tc>
        <w:tc>
          <w:tcPr>
            <w:tcW w:w="1304" w:type="dxa"/>
            <w:noWrap/>
            <w:hideMark/>
          </w:tcPr>
          <w:p w14:paraId="226F606C" w14:textId="596AE244"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16</w:t>
            </w:r>
          </w:p>
        </w:tc>
        <w:tc>
          <w:tcPr>
            <w:tcW w:w="1304" w:type="dxa"/>
            <w:noWrap/>
            <w:hideMark/>
          </w:tcPr>
          <w:p w14:paraId="25D2C8DB" w14:textId="747739E5"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13</w:t>
            </w:r>
          </w:p>
        </w:tc>
        <w:tc>
          <w:tcPr>
            <w:tcW w:w="1304" w:type="dxa"/>
            <w:noWrap/>
            <w:hideMark/>
          </w:tcPr>
          <w:p w14:paraId="22704730" w14:textId="1CF4F550"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0.0</w:t>
            </w:r>
            <w:r w:rsidR="0097430E" w:rsidRPr="00E4462A">
              <w:rPr>
                <w:sz w:val="18"/>
                <w:szCs w:val="18"/>
              </w:rPr>
              <w:t>4</w:t>
            </w:r>
          </w:p>
        </w:tc>
        <w:tc>
          <w:tcPr>
            <w:tcW w:w="1304" w:type="dxa"/>
            <w:noWrap/>
            <w:hideMark/>
          </w:tcPr>
          <w:p w14:paraId="4867B6CE" w14:textId="7C73BFEC"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0.0</w:t>
            </w:r>
            <w:r w:rsidR="0097430E" w:rsidRPr="00E4462A">
              <w:rPr>
                <w:sz w:val="18"/>
                <w:szCs w:val="18"/>
              </w:rPr>
              <w:t>4</w:t>
            </w:r>
          </w:p>
        </w:tc>
        <w:tc>
          <w:tcPr>
            <w:tcW w:w="1304" w:type="dxa"/>
          </w:tcPr>
          <w:p w14:paraId="4DDCE9C8" w14:textId="7F96B3F8"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61</w:t>
            </w:r>
          </w:p>
        </w:tc>
        <w:tc>
          <w:tcPr>
            <w:tcW w:w="1361" w:type="dxa"/>
            <w:noWrap/>
            <w:hideMark/>
          </w:tcPr>
          <w:p w14:paraId="2F017B8B" w14:textId="53833F62" w:rsidR="00043193" w:rsidRPr="00E4462A" w:rsidRDefault="00C06EB5" w:rsidP="0097430E">
            <w:pPr>
              <w:jc w:val="center"/>
              <w:rPr>
                <w:sz w:val="18"/>
                <w:szCs w:val="18"/>
              </w:rPr>
            </w:pPr>
            <w:r w:rsidRPr="00E4462A">
              <w:rPr>
                <w:sz w:val="18"/>
                <w:szCs w:val="18"/>
              </w:rPr>
              <w:t xml:space="preserve">  </w:t>
            </w:r>
            <w:r w:rsidR="00043193" w:rsidRPr="00E4462A">
              <w:rPr>
                <w:sz w:val="18"/>
                <w:szCs w:val="18"/>
              </w:rPr>
              <w:t>0.</w:t>
            </w:r>
            <w:r w:rsidR="0097430E" w:rsidRPr="00E4462A">
              <w:rPr>
                <w:sz w:val="18"/>
                <w:szCs w:val="18"/>
              </w:rPr>
              <w:t>83</w:t>
            </w:r>
          </w:p>
        </w:tc>
      </w:tr>
      <w:tr w:rsidR="00043193" w:rsidRPr="00E4462A" w14:paraId="19DB375D" w14:textId="77777777" w:rsidTr="0099033B">
        <w:trPr>
          <w:trHeight w:val="255"/>
          <w:jc w:val="center"/>
        </w:trPr>
        <w:tc>
          <w:tcPr>
            <w:tcW w:w="1871" w:type="dxa"/>
            <w:hideMark/>
          </w:tcPr>
          <w:p w14:paraId="38CF78AF" w14:textId="77777777" w:rsidR="00043193" w:rsidRPr="00E4462A" w:rsidRDefault="00043193" w:rsidP="0099033B">
            <w:pPr>
              <w:jc w:val="center"/>
              <w:rPr>
                <w:sz w:val="18"/>
                <w:szCs w:val="18"/>
                <w:lang w:val="en-US"/>
              </w:rPr>
            </w:pPr>
            <w:r w:rsidRPr="00E4462A">
              <w:rPr>
                <w:sz w:val="18"/>
                <w:szCs w:val="18"/>
                <w:lang w:val="en-US"/>
              </w:rPr>
              <w:t>computed average H/C ratio</w:t>
            </w:r>
          </w:p>
        </w:tc>
        <w:tc>
          <w:tcPr>
            <w:tcW w:w="1304" w:type="dxa"/>
            <w:noWrap/>
            <w:hideMark/>
          </w:tcPr>
          <w:p w14:paraId="0A55B409" w14:textId="77777777" w:rsidR="00043193" w:rsidRPr="00E4462A" w:rsidRDefault="00043193" w:rsidP="0099033B">
            <w:pPr>
              <w:jc w:val="center"/>
              <w:rPr>
                <w:sz w:val="18"/>
                <w:szCs w:val="18"/>
              </w:rPr>
            </w:pPr>
            <w:r w:rsidRPr="00E4462A">
              <w:rPr>
                <w:sz w:val="18"/>
                <w:szCs w:val="18"/>
              </w:rPr>
              <w:t>1.06</w:t>
            </w:r>
          </w:p>
        </w:tc>
        <w:tc>
          <w:tcPr>
            <w:tcW w:w="1304" w:type="dxa"/>
            <w:noWrap/>
            <w:hideMark/>
          </w:tcPr>
          <w:p w14:paraId="14E8644F" w14:textId="77777777" w:rsidR="00043193" w:rsidRPr="00E4462A" w:rsidRDefault="00043193" w:rsidP="0099033B">
            <w:pPr>
              <w:jc w:val="center"/>
              <w:rPr>
                <w:sz w:val="18"/>
                <w:szCs w:val="18"/>
              </w:rPr>
            </w:pPr>
            <w:r w:rsidRPr="00E4462A">
              <w:rPr>
                <w:sz w:val="18"/>
                <w:szCs w:val="18"/>
              </w:rPr>
              <w:t>1.09</w:t>
            </w:r>
          </w:p>
        </w:tc>
        <w:tc>
          <w:tcPr>
            <w:tcW w:w="1304" w:type="dxa"/>
            <w:noWrap/>
            <w:hideMark/>
          </w:tcPr>
          <w:p w14:paraId="325CF687" w14:textId="77777777" w:rsidR="00043193" w:rsidRPr="00E4462A" w:rsidRDefault="00043193" w:rsidP="0099033B">
            <w:pPr>
              <w:jc w:val="center"/>
              <w:rPr>
                <w:sz w:val="18"/>
                <w:szCs w:val="18"/>
              </w:rPr>
            </w:pPr>
            <w:r w:rsidRPr="00E4462A">
              <w:rPr>
                <w:sz w:val="18"/>
                <w:szCs w:val="18"/>
              </w:rPr>
              <w:t>1.01</w:t>
            </w:r>
          </w:p>
        </w:tc>
        <w:tc>
          <w:tcPr>
            <w:tcW w:w="1304" w:type="dxa"/>
            <w:noWrap/>
            <w:hideMark/>
          </w:tcPr>
          <w:p w14:paraId="336A6BFD" w14:textId="77777777" w:rsidR="00043193" w:rsidRPr="00E4462A" w:rsidRDefault="00043193" w:rsidP="0099033B">
            <w:pPr>
              <w:jc w:val="center"/>
              <w:rPr>
                <w:sz w:val="18"/>
                <w:szCs w:val="18"/>
              </w:rPr>
            </w:pPr>
            <w:r w:rsidRPr="00E4462A">
              <w:rPr>
                <w:sz w:val="18"/>
                <w:szCs w:val="18"/>
              </w:rPr>
              <w:t>1.02</w:t>
            </w:r>
          </w:p>
        </w:tc>
        <w:tc>
          <w:tcPr>
            <w:tcW w:w="1304" w:type="dxa"/>
          </w:tcPr>
          <w:p w14:paraId="14BDA5AD" w14:textId="77777777" w:rsidR="00043193" w:rsidRPr="00E4462A" w:rsidRDefault="00043193" w:rsidP="0099033B">
            <w:pPr>
              <w:jc w:val="center"/>
              <w:rPr>
                <w:sz w:val="18"/>
                <w:szCs w:val="18"/>
              </w:rPr>
            </w:pPr>
            <w:r w:rsidRPr="00E4462A">
              <w:rPr>
                <w:sz w:val="18"/>
                <w:szCs w:val="18"/>
              </w:rPr>
              <w:t>1.09</w:t>
            </w:r>
          </w:p>
        </w:tc>
        <w:tc>
          <w:tcPr>
            <w:tcW w:w="1361" w:type="dxa"/>
            <w:noWrap/>
            <w:hideMark/>
          </w:tcPr>
          <w:p w14:paraId="4A898C61" w14:textId="77777777" w:rsidR="00043193" w:rsidRPr="00E4462A" w:rsidRDefault="00043193" w:rsidP="0099033B">
            <w:pPr>
              <w:jc w:val="center"/>
              <w:rPr>
                <w:sz w:val="18"/>
                <w:szCs w:val="18"/>
              </w:rPr>
            </w:pPr>
            <w:r w:rsidRPr="00E4462A">
              <w:rPr>
                <w:sz w:val="18"/>
                <w:szCs w:val="18"/>
              </w:rPr>
              <w:t>1.04</w:t>
            </w:r>
          </w:p>
        </w:tc>
      </w:tr>
      <w:tr w:rsidR="00043193" w:rsidRPr="00E4462A" w14:paraId="3AB9DAD4" w14:textId="77777777" w:rsidTr="0099033B">
        <w:trPr>
          <w:trHeight w:val="255"/>
          <w:jc w:val="center"/>
        </w:trPr>
        <w:tc>
          <w:tcPr>
            <w:tcW w:w="1871" w:type="dxa"/>
            <w:hideMark/>
          </w:tcPr>
          <w:p w14:paraId="09E7A143" w14:textId="77777777" w:rsidR="00043193" w:rsidRPr="00E4462A" w:rsidRDefault="00043193" w:rsidP="0099033B">
            <w:pPr>
              <w:jc w:val="center"/>
              <w:rPr>
                <w:sz w:val="18"/>
                <w:szCs w:val="18"/>
                <w:lang w:val="en-US"/>
              </w:rPr>
            </w:pPr>
            <w:r w:rsidRPr="00E4462A">
              <w:rPr>
                <w:sz w:val="18"/>
                <w:szCs w:val="18"/>
                <w:lang w:val="en-US"/>
              </w:rPr>
              <w:t>computed average O/C ratio</w:t>
            </w:r>
          </w:p>
        </w:tc>
        <w:tc>
          <w:tcPr>
            <w:tcW w:w="1304" w:type="dxa"/>
            <w:noWrap/>
            <w:hideMark/>
          </w:tcPr>
          <w:p w14:paraId="16223CD7" w14:textId="77777777" w:rsidR="00043193" w:rsidRPr="00E4462A" w:rsidRDefault="00043193" w:rsidP="0099033B">
            <w:pPr>
              <w:jc w:val="center"/>
              <w:rPr>
                <w:sz w:val="18"/>
                <w:szCs w:val="18"/>
              </w:rPr>
            </w:pPr>
            <w:r w:rsidRPr="00E4462A">
              <w:rPr>
                <w:sz w:val="18"/>
                <w:szCs w:val="18"/>
              </w:rPr>
              <w:t>0.54</w:t>
            </w:r>
          </w:p>
        </w:tc>
        <w:tc>
          <w:tcPr>
            <w:tcW w:w="1304" w:type="dxa"/>
            <w:noWrap/>
            <w:hideMark/>
          </w:tcPr>
          <w:p w14:paraId="3A84D21B" w14:textId="77777777" w:rsidR="00043193" w:rsidRPr="00E4462A" w:rsidRDefault="00043193" w:rsidP="0099033B">
            <w:pPr>
              <w:jc w:val="center"/>
              <w:rPr>
                <w:sz w:val="18"/>
                <w:szCs w:val="18"/>
              </w:rPr>
            </w:pPr>
            <w:r w:rsidRPr="00E4462A">
              <w:rPr>
                <w:sz w:val="18"/>
                <w:szCs w:val="18"/>
              </w:rPr>
              <w:t>0.53</w:t>
            </w:r>
          </w:p>
        </w:tc>
        <w:tc>
          <w:tcPr>
            <w:tcW w:w="1304" w:type="dxa"/>
            <w:noWrap/>
            <w:hideMark/>
          </w:tcPr>
          <w:p w14:paraId="147D3306" w14:textId="77777777" w:rsidR="00043193" w:rsidRPr="00E4462A" w:rsidRDefault="00043193" w:rsidP="0099033B">
            <w:pPr>
              <w:jc w:val="center"/>
              <w:rPr>
                <w:sz w:val="18"/>
                <w:szCs w:val="18"/>
              </w:rPr>
            </w:pPr>
            <w:r w:rsidRPr="00E4462A">
              <w:rPr>
                <w:sz w:val="18"/>
                <w:szCs w:val="18"/>
              </w:rPr>
              <w:t>0.55</w:t>
            </w:r>
          </w:p>
        </w:tc>
        <w:tc>
          <w:tcPr>
            <w:tcW w:w="1304" w:type="dxa"/>
            <w:noWrap/>
            <w:hideMark/>
          </w:tcPr>
          <w:p w14:paraId="221B1F29" w14:textId="77777777" w:rsidR="00043193" w:rsidRPr="00E4462A" w:rsidRDefault="00043193" w:rsidP="0099033B">
            <w:pPr>
              <w:jc w:val="center"/>
              <w:rPr>
                <w:sz w:val="18"/>
                <w:szCs w:val="18"/>
              </w:rPr>
            </w:pPr>
            <w:r w:rsidRPr="00E4462A">
              <w:rPr>
                <w:sz w:val="18"/>
                <w:szCs w:val="18"/>
              </w:rPr>
              <w:t>0.54</w:t>
            </w:r>
          </w:p>
        </w:tc>
        <w:tc>
          <w:tcPr>
            <w:tcW w:w="1304" w:type="dxa"/>
          </w:tcPr>
          <w:p w14:paraId="0587214B" w14:textId="77777777" w:rsidR="00043193" w:rsidRPr="00E4462A" w:rsidRDefault="00043193" w:rsidP="0099033B">
            <w:pPr>
              <w:jc w:val="center"/>
              <w:rPr>
                <w:sz w:val="18"/>
                <w:szCs w:val="18"/>
              </w:rPr>
            </w:pPr>
            <w:r w:rsidRPr="00E4462A">
              <w:rPr>
                <w:sz w:val="18"/>
                <w:szCs w:val="18"/>
              </w:rPr>
              <w:t>0.56</w:t>
            </w:r>
          </w:p>
        </w:tc>
        <w:tc>
          <w:tcPr>
            <w:tcW w:w="1361" w:type="dxa"/>
            <w:noWrap/>
            <w:hideMark/>
          </w:tcPr>
          <w:p w14:paraId="2C14F2F8" w14:textId="77777777" w:rsidR="00043193" w:rsidRPr="00E4462A" w:rsidRDefault="00043193" w:rsidP="0099033B">
            <w:pPr>
              <w:jc w:val="center"/>
              <w:rPr>
                <w:sz w:val="18"/>
                <w:szCs w:val="18"/>
              </w:rPr>
            </w:pPr>
            <w:r w:rsidRPr="00E4462A">
              <w:rPr>
                <w:sz w:val="18"/>
                <w:szCs w:val="18"/>
              </w:rPr>
              <w:t>0.46</w:t>
            </w:r>
          </w:p>
        </w:tc>
      </w:tr>
      <w:tr w:rsidR="00043193" w:rsidRPr="00E4462A" w14:paraId="2249295D" w14:textId="77777777" w:rsidTr="0099033B">
        <w:trPr>
          <w:trHeight w:val="255"/>
          <w:jc w:val="center"/>
        </w:trPr>
        <w:tc>
          <w:tcPr>
            <w:tcW w:w="1871" w:type="dxa"/>
            <w:hideMark/>
          </w:tcPr>
          <w:p w14:paraId="070CBC7A" w14:textId="77777777" w:rsidR="00043193" w:rsidRPr="00E4462A" w:rsidRDefault="00043193" w:rsidP="0099033B">
            <w:pPr>
              <w:jc w:val="center"/>
              <w:rPr>
                <w:sz w:val="18"/>
                <w:szCs w:val="18"/>
                <w:lang w:val="en-US"/>
              </w:rPr>
            </w:pPr>
            <w:r w:rsidRPr="00E4462A">
              <w:rPr>
                <w:sz w:val="18"/>
                <w:szCs w:val="18"/>
                <w:lang w:val="en-US"/>
              </w:rPr>
              <w:t>computed average C/N ratio</w:t>
            </w:r>
          </w:p>
        </w:tc>
        <w:tc>
          <w:tcPr>
            <w:tcW w:w="1304" w:type="dxa"/>
            <w:noWrap/>
            <w:hideMark/>
          </w:tcPr>
          <w:p w14:paraId="0EA75669" w14:textId="77777777" w:rsidR="00043193" w:rsidRPr="00E4462A" w:rsidRDefault="00043193" w:rsidP="0099033B">
            <w:pPr>
              <w:jc w:val="center"/>
              <w:rPr>
                <w:sz w:val="18"/>
                <w:szCs w:val="18"/>
              </w:rPr>
            </w:pPr>
            <w:r w:rsidRPr="00E4462A">
              <w:rPr>
                <w:sz w:val="18"/>
                <w:szCs w:val="18"/>
              </w:rPr>
              <w:t>101.2</w:t>
            </w:r>
          </w:p>
        </w:tc>
        <w:tc>
          <w:tcPr>
            <w:tcW w:w="1304" w:type="dxa"/>
            <w:noWrap/>
            <w:hideMark/>
          </w:tcPr>
          <w:p w14:paraId="44AAB590" w14:textId="77777777" w:rsidR="00043193" w:rsidRPr="00E4462A" w:rsidRDefault="00043193" w:rsidP="0099033B">
            <w:pPr>
              <w:jc w:val="center"/>
              <w:rPr>
                <w:sz w:val="18"/>
                <w:szCs w:val="18"/>
              </w:rPr>
            </w:pPr>
            <w:r w:rsidRPr="00E4462A">
              <w:rPr>
                <w:sz w:val="18"/>
                <w:szCs w:val="18"/>
              </w:rPr>
              <w:t>100.6</w:t>
            </w:r>
          </w:p>
        </w:tc>
        <w:tc>
          <w:tcPr>
            <w:tcW w:w="1304" w:type="dxa"/>
            <w:noWrap/>
            <w:hideMark/>
          </w:tcPr>
          <w:p w14:paraId="640430B9" w14:textId="77777777" w:rsidR="00043193" w:rsidRPr="00E4462A" w:rsidRDefault="00043193" w:rsidP="0099033B">
            <w:pPr>
              <w:jc w:val="center"/>
              <w:rPr>
                <w:sz w:val="18"/>
                <w:szCs w:val="18"/>
              </w:rPr>
            </w:pPr>
            <w:r w:rsidRPr="00E4462A">
              <w:rPr>
                <w:sz w:val="18"/>
                <w:szCs w:val="18"/>
              </w:rPr>
              <w:t>97.4</w:t>
            </w:r>
          </w:p>
        </w:tc>
        <w:tc>
          <w:tcPr>
            <w:tcW w:w="1304" w:type="dxa"/>
            <w:noWrap/>
            <w:hideMark/>
          </w:tcPr>
          <w:p w14:paraId="0FCE1A21" w14:textId="77777777" w:rsidR="00043193" w:rsidRPr="00E4462A" w:rsidRDefault="00043193" w:rsidP="0099033B">
            <w:pPr>
              <w:jc w:val="center"/>
              <w:rPr>
                <w:sz w:val="18"/>
                <w:szCs w:val="18"/>
              </w:rPr>
            </w:pPr>
            <w:r w:rsidRPr="00E4462A">
              <w:rPr>
                <w:sz w:val="18"/>
                <w:szCs w:val="18"/>
              </w:rPr>
              <w:t>93.2</w:t>
            </w:r>
          </w:p>
        </w:tc>
        <w:tc>
          <w:tcPr>
            <w:tcW w:w="1304" w:type="dxa"/>
          </w:tcPr>
          <w:p w14:paraId="70CD0D32" w14:textId="77777777" w:rsidR="00043193" w:rsidRPr="00E4462A" w:rsidRDefault="00043193" w:rsidP="0099033B">
            <w:pPr>
              <w:jc w:val="center"/>
              <w:rPr>
                <w:sz w:val="18"/>
                <w:szCs w:val="18"/>
              </w:rPr>
            </w:pPr>
            <w:r w:rsidRPr="00E4462A">
              <w:rPr>
                <w:sz w:val="18"/>
                <w:szCs w:val="18"/>
              </w:rPr>
              <w:t>99.7</w:t>
            </w:r>
          </w:p>
        </w:tc>
        <w:tc>
          <w:tcPr>
            <w:tcW w:w="1361" w:type="dxa"/>
            <w:noWrap/>
            <w:hideMark/>
          </w:tcPr>
          <w:p w14:paraId="058033A0" w14:textId="77777777" w:rsidR="00043193" w:rsidRPr="00E4462A" w:rsidRDefault="00043193" w:rsidP="0099033B">
            <w:pPr>
              <w:jc w:val="center"/>
              <w:rPr>
                <w:sz w:val="18"/>
                <w:szCs w:val="18"/>
              </w:rPr>
            </w:pPr>
            <w:r w:rsidRPr="00E4462A">
              <w:rPr>
                <w:sz w:val="18"/>
                <w:szCs w:val="18"/>
              </w:rPr>
              <w:t>145.5</w:t>
            </w:r>
          </w:p>
        </w:tc>
      </w:tr>
      <w:tr w:rsidR="00043193" w:rsidRPr="00E4462A" w14:paraId="3CC1250C" w14:textId="77777777" w:rsidTr="0099033B">
        <w:trPr>
          <w:trHeight w:val="255"/>
          <w:jc w:val="center"/>
        </w:trPr>
        <w:tc>
          <w:tcPr>
            <w:tcW w:w="1871" w:type="dxa"/>
            <w:hideMark/>
          </w:tcPr>
          <w:p w14:paraId="6BC49D04" w14:textId="77777777" w:rsidR="00043193" w:rsidRPr="00E4462A" w:rsidRDefault="00043193" w:rsidP="0099033B">
            <w:pPr>
              <w:jc w:val="center"/>
              <w:rPr>
                <w:sz w:val="18"/>
                <w:szCs w:val="18"/>
                <w:lang w:val="en-US"/>
              </w:rPr>
            </w:pPr>
            <w:r w:rsidRPr="00E4462A">
              <w:rPr>
                <w:sz w:val="18"/>
                <w:szCs w:val="18"/>
                <w:lang w:val="en-US"/>
              </w:rPr>
              <w:t>computed average C/S ratio</w:t>
            </w:r>
          </w:p>
        </w:tc>
        <w:tc>
          <w:tcPr>
            <w:tcW w:w="1304" w:type="dxa"/>
            <w:noWrap/>
            <w:hideMark/>
          </w:tcPr>
          <w:p w14:paraId="70C88030" w14:textId="77777777" w:rsidR="00043193" w:rsidRPr="00E4462A" w:rsidRDefault="00043193" w:rsidP="0099033B">
            <w:pPr>
              <w:jc w:val="center"/>
              <w:rPr>
                <w:sz w:val="18"/>
                <w:szCs w:val="18"/>
              </w:rPr>
            </w:pPr>
            <w:r w:rsidRPr="00E4462A">
              <w:rPr>
                <w:sz w:val="18"/>
                <w:szCs w:val="18"/>
              </w:rPr>
              <w:t>246</w:t>
            </w:r>
          </w:p>
        </w:tc>
        <w:tc>
          <w:tcPr>
            <w:tcW w:w="1304" w:type="dxa"/>
            <w:noWrap/>
            <w:hideMark/>
          </w:tcPr>
          <w:p w14:paraId="56EA9444" w14:textId="77777777" w:rsidR="00043193" w:rsidRPr="00E4462A" w:rsidRDefault="00043193" w:rsidP="0099033B">
            <w:pPr>
              <w:jc w:val="center"/>
              <w:rPr>
                <w:sz w:val="18"/>
                <w:szCs w:val="18"/>
              </w:rPr>
            </w:pPr>
            <w:r w:rsidRPr="00E4462A">
              <w:rPr>
                <w:sz w:val="18"/>
                <w:szCs w:val="18"/>
              </w:rPr>
              <w:t>285</w:t>
            </w:r>
          </w:p>
        </w:tc>
        <w:tc>
          <w:tcPr>
            <w:tcW w:w="1304" w:type="dxa"/>
            <w:noWrap/>
            <w:hideMark/>
          </w:tcPr>
          <w:p w14:paraId="0046E506" w14:textId="77777777" w:rsidR="00043193" w:rsidRPr="00E4462A" w:rsidRDefault="00043193" w:rsidP="0099033B">
            <w:pPr>
              <w:jc w:val="center"/>
              <w:rPr>
                <w:sz w:val="18"/>
                <w:szCs w:val="18"/>
              </w:rPr>
            </w:pPr>
            <w:r w:rsidRPr="00E4462A">
              <w:rPr>
                <w:sz w:val="18"/>
                <w:szCs w:val="18"/>
              </w:rPr>
              <w:t>877</w:t>
            </w:r>
          </w:p>
        </w:tc>
        <w:tc>
          <w:tcPr>
            <w:tcW w:w="1304" w:type="dxa"/>
            <w:noWrap/>
            <w:hideMark/>
          </w:tcPr>
          <w:p w14:paraId="3ACCD55F" w14:textId="77777777" w:rsidR="00043193" w:rsidRPr="00E4462A" w:rsidRDefault="00043193" w:rsidP="0099033B">
            <w:pPr>
              <w:jc w:val="center"/>
              <w:rPr>
                <w:sz w:val="18"/>
                <w:szCs w:val="18"/>
              </w:rPr>
            </w:pPr>
            <w:r w:rsidRPr="00E4462A">
              <w:rPr>
                <w:sz w:val="18"/>
                <w:szCs w:val="18"/>
              </w:rPr>
              <w:t>885</w:t>
            </w:r>
          </w:p>
        </w:tc>
        <w:tc>
          <w:tcPr>
            <w:tcW w:w="1304" w:type="dxa"/>
          </w:tcPr>
          <w:p w14:paraId="5F226E36" w14:textId="77777777" w:rsidR="00043193" w:rsidRPr="00E4462A" w:rsidRDefault="00043193" w:rsidP="0099033B">
            <w:pPr>
              <w:jc w:val="center"/>
              <w:rPr>
                <w:sz w:val="18"/>
                <w:szCs w:val="18"/>
              </w:rPr>
            </w:pPr>
            <w:r w:rsidRPr="00E4462A">
              <w:rPr>
                <w:sz w:val="18"/>
                <w:szCs w:val="18"/>
              </w:rPr>
              <w:t>60.5</w:t>
            </w:r>
          </w:p>
        </w:tc>
        <w:tc>
          <w:tcPr>
            <w:tcW w:w="1361" w:type="dxa"/>
            <w:noWrap/>
            <w:hideMark/>
          </w:tcPr>
          <w:p w14:paraId="46EAE788" w14:textId="77777777" w:rsidR="00043193" w:rsidRPr="00E4462A" w:rsidRDefault="00043193" w:rsidP="0099033B">
            <w:pPr>
              <w:jc w:val="center"/>
              <w:rPr>
                <w:sz w:val="18"/>
                <w:szCs w:val="18"/>
              </w:rPr>
            </w:pPr>
            <w:r w:rsidRPr="00E4462A">
              <w:rPr>
                <w:sz w:val="18"/>
                <w:szCs w:val="18"/>
              </w:rPr>
              <w:t>47.3</w:t>
            </w:r>
          </w:p>
        </w:tc>
      </w:tr>
      <w:tr w:rsidR="00043193" w:rsidRPr="00E4462A" w14:paraId="7765CB9A" w14:textId="77777777" w:rsidTr="0099033B">
        <w:trPr>
          <w:trHeight w:val="255"/>
          <w:jc w:val="center"/>
        </w:trPr>
        <w:tc>
          <w:tcPr>
            <w:tcW w:w="1871" w:type="dxa"/>
            <w:hideMark/>
          </w:tcPr>
          <w:p w14:paraId="58B712A0" w14:textId="77777777" w:rsidR="00043193" w:rsidRPr="00E4462A" w:rsidRDefault="00043193" w:rsidP="0099033B">
            <w:pPr>
              <w:jc w:val="center"/>
              <w:rPr>
                <w:sz w:val="18"/>
                <w:szCs w:val="18"/>
              </w:rPr>
            </w:pPr>
            <w:r w:rsidRPr="00E4462A">
              <w:rPr>
                <w:sz w:val="18"/>
                <w:szCs w:val="18"/>
              </w:rPr>
              <w:t>mass weighted average</w:t>
            </w:r>
          </w:p>
        </w:tc>
        <w:tc>
          <w:tcPr>
            <w:tcW w:w="1304" w:type="dxa"/>
            <w:hideMark/>
          </w:tcPr>
          <w:p w14:paraId="02527918" w14:textId="77777777" w:rsidR="00043193" w:rsidRPr="00E4462A" w:rsidRDefault="00043193" w:rsidP="0099033B">
            <w:pPr>
              <w:jc w:val="center"/>
              <w:rPr>
                <w:sz w:val="18"/>
                <w:szCs w:val="18"/>
              </w:rPr>
            </w:pPr>
            <w:r w:rsidRPr="00E4462A">
              <w:rPr>
                <w:sz w:val="18"/>
                <w:szCs w:val="18"/>
              </w:rPr>
              <w:t>378.2</w:t>
            </w:r>
          </w:p>
        </w:tc>
        <w:tc>
          <w:tcPr>
            <w:tcW w:w="1304" w:type="dxa"/>
            <w:hideMark/>
          </w:tcPr>
          <w:p w14:paraId="30FC2F96" w14:textId="77777777" w:rsidR="00043193" w:rsidRPr="00E4462A" w:rsidRDefault="00043193" w:rsidP="0099033B">
            <w:pPr>
              <w:jc w:val="center"/>
              <w:rPr>
                <w:sz w:val="18"/>
                <w:szCs w:val="18"/>
              </w:rPr>
            </w:pPr>
            <w:r w:rsidRPr="00E4462A">
              <w:rPr>
                <w:sz w:val="18"/>
                <w:szCs w:val="18"/>
              </w:rPr>
              <w:t>375.2</w:t>
            </w:r>
          </w:p>
        </w:tc>
        <w:tc>
          <w:tcPr>
            <w:tcW w:w="1304" w:type="dxa"/>
            <w:hideMark/>
          </w:tcPr>
          <w:p w14:paraId="55BA6B3B" w14:textId="77777777" w:rsidR="00043193" w:rsidRPr="00E4462A" w:rsidRDefault="00043193" w:rsidP="0099033B">
            <w:pPr>
              <w:jc w:val="center"/>
              <w:rPr>
                <w:sz w:val="18"/>
                <w:szCs w:val="18"/>
              </w:rPr>
            </w:pPr>
            <w:r w:rsidRPr="00E4462A">
              <w:rPr>
                <w:sz w:val="18"/>
                <w:szCs w:val="18"/>
              </w:rPr>
              <w:t>388.8</w:t>
            </w:r>
          </w:p>
        </w:tc>
        <w:tc>
          <w:tcPr>
            <w:tcW w:w="1304" w:type="dxa"/>
            <w:hideMark/>
          </w:tcPr>
          <w:p w14:paraId="6BB089D4" w14:textId="77777777" w:rsidR="00043193" w:rsidRPr="00E4462A" w:rsidRDefault="00043193" w:rsidP="0099033B">
            <w:pPr>
              <w:jc w:val="center"/>
              <w:rPr>
                <w:sz w:val="18"/>
                <w:szCs w:val="18"/>
              </w:rPr>
            </w:pPr>
            <w:r w:rsidRPr="00E4462A">
              <w:rPr>
                <w:sz w:val="18"/>
                <w:szCs w:val="18"/>
              </w:rPr>
              <w:t>386.0</w:t>
            </w:r>
          </w:p>
        </w:tc>
        <w:tc>
          <w:tcPr>
            <w:tcW w:w="1304" w:type="dxa"/>
          </w:tcPr>
          <w:p w14:paraId="6EA46A39" w14:textId="77777777" w:rsidR="00043193" w:rsidRPr="00E4462A" w:rsidRDefault="00043193" w:rsidP="0099033B">
            <w:pPr>
              <w:jc w:val="center"/>
              <w:rPr>
                <w:sz w:val="18"/>
                <w:szCs w:val="18"/>
              </w:rPr>
            </w:pPr>
            <w:r w:rsidRPr="00E4462A">
              <w:rPr>
                <w:sz w:val="18"/>
                <w:szCs w:val="18"/>
              </w:rPr>
              <w:t>386.7</w:t>
            </w:r>
          </w:p>
        </w:tc>
        <w:tc>
          <w:tcPr>
            <w:tcW w:w="1361" w:type="dxa"/>
            <w:hideMark/>
          </w:tcPr>
          <w:p w14:paraId="348BEF3D" w14:textId="77777777" w:rsidR="00043193" w:rsidRPr="00E4462A" w:rsidRDefault="00043193" w:rsidP="0099033B">
            <w:pPr>
              <w:jc w:val="center"/>
              <w:rPr>
                <w:sz w:val="18"/>
                <w:szCs w:val="18"/>
              </w:rPr>
            </w:pPr>
            <w:r w:rsidRPr="00E4462A">
              <w:rPr>
                <w:sz w:val="18"/>
                <w:szCs w:val="18"/>
              </w:rPr>
              <w:t>402.2</w:t>
            </w:r>
          </w:p>
        </w:tc>
      </w:tr>
    </w:tbl>
    <w:p w14:paraId="1740C7FC" w14:textId="77777777" w:rsidR="00043193" w:rsidRPr="00E4462A" w:rsidRDefault="00043193" w:rsidP="008B22B1">
      <w:pPr>
        <w:tabs>
          <w:tab w:val="center" w:pos="4249"/>
        </w:tabs>
        <w:spacing w:line="360" w:lineRule="auto"/>
        <w:jc w:val="both"/>
        <w:rPr>
          <w:sz w:val="20"/>
          <w:szCs w:val="20"/>
          <w:lang w:val="en-GB"/>
        </w:rPr>
      </w:pPr>
    </w:p>
    <w:p w14:paraId="2B44DDE6" w14:textId="2BE83C4F" w:rsidR="00043193" w:rsidRPr="00E4462A" w:rsidRDefault="00043193" w:rsidP="008B22B1">
      <w:pPr>
        <w:tabs>
          <w:tab w:val="center" w:pos="4249"/>
        </w:tabs>
        <w:spacing w:line="360" w:lineRule="auto"/>
        <w:jc w:val="both"/>
        <w:rPr>
          <w:sz w:val="20"/>
          <w:szCs w:val="20"/>
          <w:lang w:val="en-GB"/>
        </w:rPr>
      </w:pPr>
      <w:r w:rsidRPr="00E4462A">
        <w:rPr>
          <w:b/>
          <w:sz w:val="20"/>
          <w:szCs w:val="20"/>
          <w:lang w:val="en-GB"/>
        </w:rPr>
        <w:t>Table 3</w:t>
      </w:r>
      <w:r w:rsidRPr="00E4462A">
        <w:rPr>
          <w:sz w:val="20"/>
          <w:szCs w:val="20"/>
          <w:lang w:val="en-GB"/>
        </w:rPr>
        <w:t xml:space="preserve">. Counts of mass peaks </w:t>
      </w:r>
      <w:r w:rsidR="0097430E" w:rsidRPr="00E4462A">
        <w:rPr>
          <w:sz w:val="20"/>
          <w:szCs w:val="20"/>
          <w:lang w:val="en-GB"/>
        </w:rPr>
        <w:t xml:space="preserve">in wetland SPE-DOM </w:t>
      </w:r>
      <w:r w:rsidRPr="00E4462A">
        <w:rPr>
          <w:sz w:val="20"/>
          <w:szCs w:val="20"/>
          <w:lang w:val="en-GB"/>
        </w:rPr>
        <w:t>as computed from negative electrospray (ESI) 12 T FTICR mass spectra for singly charged ions.</w:t>
      </w:r>
    </w:p>
    <w:p w14:paraId="0C0181BF" w14:textId="77777777" w:rsidR="00043193" w:rsidRPr="00E4462A" w:rsidRDefault="00043193" w:rsidP="008B22B1">
      <w:pPr>
        <w:tabs>
          <w:tab w:val="center" w:pos="4249"/>
        </w:tabs>
        <w:spacing w:line="360" w:lineRule="auto"/>
        <w:jc w:val="both"/>
        <w:rPr>
          <w:sz w:val="20"/>
          <w:szCs w:val="20"/>
          <w:lang w:val="en-GB"/>
        </w:rPr>
      </w:pPr>
    </w:p>
    <w:p w14:paraId="30DB30EA" w14:textId="77777777" w:rsidR="00043193" w:rsidRPr="00E4462A" w:rsidRDefault="00043193" w:rsidP="008B22B1">
      <w:pPr>
        <w:spacing w:line="360" w:lineRule="auto"/>
        <w:jc w:val="both"/>
        <w:rPr>
          <w:sz w:val="18"/>
          <w:szCs w:val="18"/>
          <w:lang w:val="en-GB"/>
        </w:rPr>
      </w:pPr>
      <w:r w:rsidRPr="00E4462A">
        <w:rPr>
          <w:sz w:val="20"/>
          <w:szCs w:val="20"/>
          <w:lang w:val="en-GB"/>
        </w:rPr>
        <w:br w:type="page"/>
      </w:r>
    </w:p>
    <w:p w14:paraId="3C4C190D" w14:textId="77777777" w:rsidR="00043193" w:rsidRPr="00E4462A" w:rsidRDefault="00043193" w:rsidP="008B22B1">
      <w:pPr>
        <w:spacing w:after="200" w:line="276" w:lineRule="auto"/>
        <w:jc w:val="both"/>
        <w:rPr>
          <w:sz w:val="20"/>
          <w:szCs w:val="20"/>
          <w:lang w:val="en-US"/>
        </w:rPr>
      </w:pPr>
    </w:p>
    <w:p w14:paraId="4E69CD8E" w14:textId="77777777" w:rsidR="00043193" w:rsidRPr="00E4462A" w:rsidRDefault="00043193" w:rsidP="008B22B1">
      <w:pPr>
        <w:spacing w:after="200" w:line="360" w:lineRule="auto"/>
        <w:jc w:val="both"/>
        <w:rPr>
          <w:sz w:val="20"/>
          <w:szCs w:val="20"/>
          <w:lang w:val="en-GB"/>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34"/>
        <w:gridCol w:w="737"/>
        <w:gridCol w:w="733"/>
        <w:gridCol w:w="733"/>
        <w:gridCol w:w="737"/>
        <w:gridCol w:w="735"/>
        <w:gridCol w:w="772"/>
        <w:gridCol w:w="735"/>
        <w:gridCol w:w="959"/>
        <w:gridCol w:w="959"/>
      </w:tblGrid>
      <w:tr w:rsidR="00043193" w:rsidRPr="00E4462A" w14:paraId="64A67FCB" w14:textId="77777777" w:rsidTr="0099033B">
        <w:trPr>
          <w:trHeight w:val="487"/>
          <w:jc w:val="center"/>
        </w:trPr>
        <w:tc>
          <w:tcPr>
            <w:tcW w:w="1413" w:type="dxa"/>
            <w:tcBorders>
              <w:bottom w:val="single" w:sz="4" w:space="0" w:color="auto"/>
            </w:tcBorders>
            <w:shd w:val="clear" w:color="auto" w:fill="D9D9D9"/>
            <w:vAlign w:val="center"/>
          </w:tcPr>
          <w:p w14:paraId="4BFFA584" w14:textId="77777777" w:rsidR="00043193" w:rsidRPr="00E4462A" w:rsidRDefault="00043193" w:rsidP="0099033B">
            <w:pPr>
              <w:spacing w:after="200" w:line="276" w:lineRule="auto"/>
              <w:jc w:val="center"/>
              <w:rPr>
                <w:rFonts w:eastAsia="Calibri"/>
                <w:b/>
                <w:sz w:val="20"/>
                <w:szCs w:val="20"/>
                <w:lang w:val="en-GB"/>
              </w:rPr>
            </w:pPr>
            <w:r w:rsidRPr="00E4462A">
              <w:rPr>
                <w:rFonts w:ascii="Symbol" w:eastAsia="Calibri" w:hAnsi="Symbol"/>
                <w:b/>
                <w:sz w:val="20"/>
                <w:szCs w:val="20"/>
                <w:lang w:val="en-GB"/>
              </w:rPr>
              <w:t></w:t>
            </w:r>
            <w:r w:rsidRPr="00E4462A">
              <w:rPr>
                <w:rFonts w:eastAsia="Calibri"/>
                <w:b/>
                <w:sz w:val="20"/>
                <w:szCs w:val="20"/>
                <w:lang w:val="en-GB"/>
              </w:rPr>
              <w:t>(</w:t>
            </w:r>
            <w:r w:rsidRPr="00E4462A">
              <w:rPr>
                <w:rFonts w:eastAsia="Calibri"/>
                <w:b/>
                <w:sz w:val="20"/>
                <w:szCs w:val="20"/>
                <w:vertAlign w:val="superscript"/>
                <w:lang w:val="en-GB"/>
              </w:rPr>
              <w:t>13</w:t>
            </w:r>
            <w:r w:rsidRPr="00E4462A">
              <w:rPr>
                <w:rFonts w:eastAsia="Calibri"/>
                <w:b/>
                <w:sz w:val="20"/>
                <w:szCs w:val="20"/>
                <w:lang w:val="en-GB"/>
              </w:rPr>
              <w:t>C) ppm</w:t>
            </w:r>
          </w:p>
          <w:p w14:paraId="297D8622" w14:textId="77777777" w:rsidR="00043193" w:rsidRPr="00E4462A" w:rsidRDefault="00043193" w:rsidP="0099033B">
            <w:pPr>
              <w:jc w:val="center"/>
              <w:rPr>
                <w:rFonts w:eastAsia="Calibri"/>
                <w:sz w:val="20"/>
                <w:szCs w:val="20"/>
                <w:lang w:val="en-GB"/>
              </w:rPr>
            </w:pPr>
          </w:p>
        </w:tc>
        <w:tc>
          <w:tcPr>
            <w:tcW w:w="734" w:type="dxa"/>
            <w:tcBorders>
              <w:bottom w:val="single" w:sz="4" w:space="0" w:color="auto"/>
            </w:tcBorders>
            <w:shd w:val="clear" w:color="auto" w:fill="D9D9D9"/>
            <w:vAlign w:val="center"/>
          </w:tcPr>
          <w:p w14:paraId="4F8F7D46"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220-187</w:t>
            </w:r>
          </w:p>
        </w:tc>
        <w:tc>
          <w:tcPr>
            <w:tcW w:w="737" w:type="dxa"/>
            <w:tcBorders>
              <w:bottom w:val="single" w:sz="4" w:space="0" w:color="auto"/>
            </w:tcBorders>
            <w:shd w:val="clear" w:color="auto" w:fill="D9D9D9"/>
            <w:vAlign w:val="center"/>
          </w:tcPr>
          <w:p w14:paraId="4EC5C5BD" w14:textId="77777777" w:rsidR="00043193" w:rsidRPr="00E4462A" w:rsidRDefault="00043193" w:rsidP="0099033B">
            <w:pPr>
              <w:spacing w:after="200" w:line="276" w:lineRule="auto"/>
              <w:ind w:left="-108"/>
              <w:jc w:val="center"/>
              <w:rPr>
                <w:rFonts w:eastAsia="Calibri"/>
                <w:b/>
                <w:sz w:val="20"/>
                <w:szCs w:val="20"/>
                <w:lang w:val="en-GB"/>
              </w:rPr>
            </w:pPr>
            <w:r w:rsidRPr="00E4462A">
              <w:rPr>
                <w:rFonts w:eastAsia="Calibri"/>
                <w:b/>
                <w:sz w:val="20"/>
                <w:szCs w:val="20"/>
                <w:lang w:val="en-GB"/>
              </w:rPr>
              <w:t>187-167</w:t>
            </w:r>
          </w:p>
        </w:tc>
        <w:tc>
          <w:tcPr>
            <w:tcW w:w="733" w:type="dxa"/>
            <w:tcBorders>
              <w:bottom w:val="single" w:sz="4" w:space="0" w:color="auto"/>
            </w:tcBorders>
            <w:shd w:val="clear" w:color="auto" w:fill="D9D9D9"/>
            <w:vAlign w:val="center"/>
          </w:tcPr>
          <w:p w14:paraId="143FBF4D"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167-145</w:t>
            </w:r>
          </w:p>
        </w:tc>
        <w:tc>
          <w:tcPr>
            <w:tcW w:w="733" w:type="dxa"/>
            <w:tcBorders>
              <w:bottom w:val="single" w:sz="4" w:space="0" w:color="auto"/>
            </w:tcBorders>
            <w:shd w:val="clear" w:color="auto" w:fill="D9D9D9"/>
            <w:vAlign w:val="center"/>
          </w:tcPr>
          <w:p w14:paraId="6C9AA611"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145-108</w:t>
            </w:r>
          </w:p>
        </w:tc>
        <w:tc>
          <w:tcPr>
            <w:tcW w:w="737" w:type="dxa"/>
            <w:tcBorders>
              <w:bottom w:val="single" w:sz="4" w:space="0" w:color="auto"/>
            </w:tcBorders>
            <w:shd w:val="clear" w:color="auto" w:fill="D9D9D9"/>
            <w:vAlign w:val="center"/>
          </w:tcPr>
          <w:p w14:paraId="03E1C3C1"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108-90</w:t>
            </w:r>
          </w:p>
        </w:tc>
        <w:tc>
          <w:tcPr>
            <w:tcW w:w="735" w:type="dxa"/>
            <w:tcBorders>
              <w:bottom w:val="single" w:sz="4" w:space="0" w:color="auto"/>
            </w:tcBorders>
            <w:shd w:val="clear" w:color="auto" w:fill="D9D9D9"/>
            <w:vAlign w:val="center"/>
          </w:tcPr>
          <w:p w14:paraId="071F740C"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90-59</w:t>
            </w:r>
          </w:p>
        </w:tc>
        <w:tc>
          <w:tcPr>
            <w:tcW w:w="772" w:type="dxa"/>
            <w:tcBorders>
              <w:bottom w:val="single" w:sz="4" w:space="0" w:color="auto"/>
            </w:tcBorders>
            <w:shd w:val="clear" w:color="auto" w:fill="D9D9D9"/>
            <w:vAlign w:val="center"/>
          </w:tcPr>
          <w:p w14:paraId="5CB394EC"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59-51</w:t>
            </w:r>
          </w:p>
        </w:tc>
        <w:tc>
          <w:tcPr>
            <w:tcW w:w="735" w:type="dxa"/>
            <w:tcBorders>
              <w:bottom w:val="single" w:sz="4" w:space="0" w:color="auto"/>
            </w:tcBorders>
            <w:shd w:val="clear" w:color="auto" w:fill="D9D9D9"/>
            <w:vAlign w:val="center"/>
          </w:tcPr>
          <w:p w14:paraId="70651426" w14:textId="77777777" w:rsidR="00043193" w:rsidRPr="00E4462A" w:rsidRDefault="00043193" w:rsidP="0099033B">
            <w:pPr>
              <w:spacing w:after="200" w:line="276" w:lineRule="auto"/>
              <w:jc w:val="center"/>
              <w:rPr>
                <w:rFonts w:eastAsia="Calibri"/>
                <w:b/>
                <w:sz w:val="20"/>
                <w:szCs w:val="20"/>
                <w:lang w:val="en-GB"/>
              </w:rPr>
            </w:pPr>
            <w:r w:rsidRPr="00E4462A">
              <w:rPr>
                <w:rFonts w:eastAsia="Calibri"/>
                <w:b/>
                <w:sz w:val="20"/>
                <w:szCs w:val="20"/>
                <w:lang w:val="en-GB"/>
              </w:rPr>
              <w:t>47-0</w:t>
            </w:r>
          </w:p>
        </w:tc>
        <w:tc>
          <w:tcPr>
            <w:tcW w:w="959" w:type="dxa"/>
            <w:shd w:val="clear" w:color="auto" w:fill="D9D9D9"/>
            <w:vAlign w:val="center"/>
          </w:tcPr>
          <w:p w14:paraId="70C2DDA7" w14:textId="77777777" w:rsidR="00043193" w:rsidRPr="00E4462A" w:rsidRDefault="00043193" w:rsidP="0099033B">
            <w:pPr>
              <w:spacing w:after="200" w:line="276" w:lineRule="auto"/>
              <w:jc w:val="center"/>
              <w:rPr>
                <w:rFonts w:eastAsia="Calibri"/>
                <w:b/>
                <w:bCs/>
                <w:sz w:val="20"/>
                <w:szCs w:val="20"/>
                <w:lang w:val="en-GB"/>
              </w:rPr>
            </w:pPr>
            <w:r w:rsidRPr="00E4462A">
              <w:rPr>
                <w:rFonts w:eastAsia="Calibri"/>
                <w:b/>
                <w:bCs/>
                <w:iCs/>
                <w:sz w:val="20"/>
                <w:szCs w:val="20"/>
                <w:lang w:val="en-GB"/>
              </w:rPr>
              <w:t>H/C ratio</w:t>
            </w:r>
          </w:p>
        </w:tc>
        <w:tc>
          <w:tcPr>
            <w:tcW w:w="959" w:type="dxa"/>
            <w:shd w:val="clear" w:color="auto" w:fill="D9D9D9"/>
            <w:vAlign w:val="center"/>
          </w:tcPr>
          <w:p w14:paraId="7EBE4693" w14:textId="77777777" w:rsidR="00043193" w:rsidRPr="00E4462A" w:rsidRDefault="00043193" w:rsidP="0099033B">
            <w:pPr>
              <w:spacing w:after="200" w:line="276" w:lineRule="auto"/>
              <w:jc w:val="center"/>
              <w:rPr>
                <w:rFonts w:eastAsia="Calibri"/>
                <w:b/>
                <w:bCs/>
                <w:sz w:val="20"/>
                <w:szCs w:val="20"/>
                <w:lang w:val="en-GB"/>
              </w:rPr>
            </w:pPr>
            <w:r w:rsidRPr="00E4462A">
              <w:rPr>
                <w:rFonts w:eastAsia="Calibri"/>
                <w:b/>
                <w:bCs/>
                <w:sz w:val="20"/>
                <w:szCs w:val="20"/>
                <w:lang w:val="en-GB"/>
              </w:rPr>
              <w:t>O/C ratio</w:t>
            </w:r>
          </w:p>
        </w:tc>
      </w:tr>
      <w:tr w:rsidR="00043193" w:rsidRPr="00E4462A" w14:paraId="03992FE9" w14:textId="77777777" w:rsidTr="0099033B">
        <w:trPr>
          <w:jc w:val="center"/>
        </w:trPr>
        <w:tc>
          <w:tcPr>
            <w:tcW w:w="1413" w:type="dxa"/>
            <w:tcBorders>
              <w:bottom w:val="single" w:sz="4" w:space="0" w:color="auto"/>
            </w:tcBorders>
            <w:shd w:val="clear" w:color="auto" w:fill="F3F3F3"/>
            <w:vAlign w:val="center"/>
          </w:tcPr>
          <w:p w14:paraId="62817B77" w14:textId="77777777" w:rsidR="00043193" w:rsidRPr="00E4462A" w:rsidRDefault="00643179" w:rsidP="0099033B">
            <w:pPr>
              <w:spacing w:after="200" w:line="276" w:lineRule="auto"/>
              <w:jc w:val="center"/>
              <w:rPr>
                <w:rFonts w:eastAsia="Calibri"/>
                <w:sz w:val="20"/>
                <w:szCs w:val="20"/>
                <w:lang w:val="en-GB"/>
              </w:rPr>
            </w:pPr>
            <w:r w:rsidRPr="00E4462A">
              <w:rPr>
                <w:rFonts w:eastAsia="Calibri"/>
                <w:sz w:val="20"/>
                <w:szCs w:val="20"/>
                <w:lang w:val="en-GB" w:eastAsia="zh-CN"/>
              </w:rPr>
              <w:t>k</w:t>
            </w:r>
            <w:r w:rsidRPr="00E4462A">
              <w:rPr>
                <w:rFonts w:eastAsia="Calibri"/>
                <w:sz w:val="20"/>
                <w:szCs w:val="20"/>
                <w:lang w:val="en-GB"/>
              </w:rPr>
              <w:t xml:space="preserve">ey </w:t>
            </w:r>
            <w:r w:rsidR="00043193" w:rsidRPr="00E4462A">
              <w:rPr>
                <w:rFonts w:eastAsia="Calibri"/>
                <w:sz w:val="20"/>
                <w:szCs w:val="20"/>
                <w:lang w:val="en-GB"/>
              </w:rPr>
              <w:t>substructures</w:t>
            </w:r>
          </w:p>
        </w:tc>
        <w:tc>
          <w:tcPr>
            <w:tcW w:w="734" w:type="dxa"/>
            <w:tcBorders>
              <w:bottom w:val="single" w:sz="4" w:space="0" w:color="auto"/>
            </w:tcBorders>
            <w:shd w:val="clear" w:color="auto" w:fill="F3F3F3"/>
            <w:vAlign w:val="center"/>
          </w:tcPr>
          <w:p w14:paraId="1C6A7394"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b/>
                <w:sz w:val="20"/>
                <w:szCs w:val="20"/>
                <w:u w:val="single"/>
                <w:lang w:val="en-GB"/>
              </w:rPr>
              <w:t>C</w:t>
            </w:r>
            <w:r w:rsidRPr="00E4462A">
              <w:rPr>
                <w:rFonts w:eastAsia="Calibri"/>
                <w:sz w:val="20"/>
                <w:szCs w:val="20"/>
                <w:lang w:val="en-GB"/>
              </w:rPr>
              <w:t>=O</w:t>
            </w:r>
          </w:p>
        </w:tc>
        <w:tc>
          <w:tcPr>
            <w:tcW w:w="737" w:type="dxa"/>
            <w:tcBorders>
              <w:bottom w:val="single" w:sz="4" w:space="0" w:color="auto"/>
            </w:tcBorders>
            <w:shd w:val="clear" w:color="auto" w:fill="F3F3F3"/>
            <w:vAlign w:val="center"/>
          </w:tcPr>
          <w:p w14:paraId="3AE0A518" w14:textId="77777777" w:rsidR="00043193" w:rsidRPr="00E4462A" w:rsidRDefault="00043193" w:rsidP="0099033B">
            <w:pPr>
              <w:spacing w:after="200" w:line="276" w:lineRule="auto"/>
              <w:ind w:left="-108"/>
              <w:jc w:val="center"/>
              <w:rPr>
                <w:rFonts w:eastAsia="Calibri"/>
                <w:sz w:val="20"/>
                <w:szCs w:val="20"/>
                <w:lang w:val="en-GB"/>
              </w:rPr>
            </w:pPr>
            <w:r w:rsidRPr="00E4462A">
              <w:rPr>
                <w:rFonts w:eastAsia="Calibri"/>
                <w:b/>
                <w:sz w:val="20"/>
                <w:szCs w:val="20"/>
                <w:u w:val="single"/>
                <w:lang w:val="en-GB"/>
              </w:rPr>
              <w:t>C</w:t>
            </w:r>
            <w:r w:rsidRPr="00E4462A">
              <w:rPr>
                <w:rFonts w:eastAsia="Calibri"/>
                <w:sz w:val="20"/>
                <w:szCs w:val="20"/>
                <w:lang w:val="en-GB"/>
              </w:rPr>
              <w:t>OX</w:t>
            </w:r>
          </w:p>
        </w:tc>
        <w:tc>
          <w:tcPr>
            <w:tcW w:w="733" w:type="dxa"/>
            <w:tcBorders>
              <w:bottom w:val="single" w:sz="4" w:space="0" w:color="auto"/>
            </w:tcBorders>
            <w:shd w:val="clear" w:color="auto" w:fill="F3F3F3"/>
            <w:vAlign w:val="center"/>
          </w:tcPr>
          <w:p w14:paraId="572A69A0"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b/>
                <w:sz w:val="20"/>
                <w:szCs w:val="20"/>
                <w:u w:val="single"/>
                <w:lang w:val="en-GB"/>
              </w:rPr>
              <w:t>C</w:t>
            </w:r>
            <w:r w:rsidRPr="00E4462A">
              <w:rPr>
                <w:rFonts w:eastAsia="Calibri"/>
                <w:sz w:val="20"/>
                <w:szCs w:val="20"/>
                <w:vertAlign w:val="subscript"/>
                <w:lang w:val="en-GB"/>
              </w:rPr>
              <w:t>ar</w:t>
            </w:r>
            <w:r w:rsidRPr="00E4462A">
              <w:rPr>
                <w:rFonts w:eastAsia="Calibri"/>
                <w:sz w:val="20"/>
                <w:szCs w:val="20"/>
                <w:lang w:val="en-GB"/>
              </w:rPr>
              <w:t>-O</w:t>
            </w:r>
          </w:p>
        </w:tc>
        <w:tc>
          <w:tcPr>
            <w:tcW w:w="733" w:type="dxa"/>
            <w:tcBorders>
              <w:bottom w:val="single" w:sz="4" w:space="0" w:color="auto"/>
            </w:tcBorders>
            <w:shd w:val="clear" w:color="auto" w:fill="F3F3F3"/>
            <w:vAlign w:val="center"/>
          </w:tcPr>
          <w:p w14:paraId="11230C26"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b/>
                <w:sz w:val="20"/>
                <w:szCs w:val="20"/>
                <w:u w:val="single"/>
                <w:lang w:val="en-GB"/>
              </w:rPr>
              <w:t>C</w:t>
            </w:r>
            <w:r w:rsidRPr="00E4462A">
              <w:rPr>
                <w:rFonts w:eastAsia="Calibri"/>
                <w:sz w:val="20"/>
                <w:szCs w:val="20"/>
                <w:vertAlign w:val="subscript"/>
                <w:lang w:val="en-GB"/>
              </w:rPr>
              <w:t>ar</w:t>
            </w:r>
            <w:r w:rsidR="00F554FA" w:rsidRPr="00E4462A">
              <w:rPr>
                <w:rFonts w:eastAsia="Calibri"/>
                <w:sz w:val="20"/>
                <w:szCs w:val="20"/>
                <w:lang w:val="en-GB"/>
              </w:rPr>
              <w:t>-C,</w:t>
            </w:r>
            <w:r w:rsidRPr="00E4462A">
              <w:rPr>
                <w:rFonts w:eastAsia="Calibri"/>
                <w:sz w:val="20"/>
                <w:szCs w:val="20"/>
                <w:lang w:val="en-GB"/>
              </w:rPr>
              <w:t>H</w:t>
            </w:r>
          </w:p>
        </w:tc>
        <w:tc>
          <w:tcPr>
            <w:tcW w:w="737" w:type="dxa"/>
            <w:tcBorders>
              <w:bottom w:val="single" w:sz="4" w:space="0" w:color="auto"/>
            </w:tcBorders>
            <w:shd w:val="clear" w:color="auto" w:fill="F3F3F3"/>
            <w:vAlign w:val="center"/>
          </w:tcPr>
          <w:p w14:paraId="0895CC4C"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sz w:val="20"/>
                <w:szCs w:val="20"/>
                <w:lang w:val="en-GB"/>
              </w:rPr>
              <w:t>O</w:t>
            </w:r>
            <w:r w:rsidRPr="00E4462A">
              <w:rPr>
                <w:rFonts w:eastAsia="Calibri"/>
                <w:sz w:val="20"/>
                <w:szCs w:val="20"/>
                <w:vertAlign w:val="subscript"/>
                <w:lang w:val="en-GB"/>
              </w:rPr>
              <w:t>2</w:t>
            </w:r>
            <w:r w:rsidRPr="00E4462A">
              <w:rPr>
                <w:rFonts w:eastAsia="Calibri"/>
                <w:b/>
                <w:sz w:val="20"/>
                <w:szCs w:val="20"/>
                <w:u w:val="single"/>
                <w:lang w:val="en-GB"/>
              </w:rPr>
              <w:t>C</w:t>
            </w:r>
            <w:r w:rsidRPr="00E4462A">
              <w:rPr>
                <w:rFonts w:eastAsia="Calibri"/>
                <w:sz w:val="20"/>
                <w:szCs w:val="20"/>
                <w:lang w:val="en-GB"/>
              </w:rPr>
              <w:t>H</w:t>
            </w:r>
          </w:p>
        </w:tc>
        <w:tc>
          <w:tcPr>
            <w:tcW w:w="735" w:type="dxa"/>
            <w:tcBorders>
              <w:bottom w:val="single" w:sz="4" w:space="0" w:color="auto"/>
            </w:tcBorders>
            <w:shd w:val="clear" w:color="auto" w:fill="F3F3F3"/>
            <w:vAlign w:val="center"/>
          </w:tcPr>
          <w:p w14:paraId="75CB45D0"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sz w:val="20"/>
                <w:szCs w:val="20"/>
                <w:lang w:val="en-GB"/>
              </w:rPr>
              <w:t>O</w:t>
            </w:r>
            <w:r w:rsidRPr="00E4462A">
              <w:rPr>
                <w:rFonts w:eastAsia="Calibri"/>
                <w:b/>
                <w:sz w:val="20"/>
                <w:szCs w:val="20"/>
                <w:u w:val="single"/>
                <w:lang w:val="en-GB"/>
              </w:rPr>
              <w:t>C</w:t>
            </w:r>
            <w:r w:rsidRPr="00E4462A">
              <w:rPr>
                <w:rFonts w:eastAsia="Calibri"/>
                <w:sz w:val="20"/>
                <w:szCs w:val="20"/>
                <w:lang w:val="en-GB"/>
              </w:rPr>
              <w:t>H</w:t>
            </w:r>
          </w:p>
        </w:tc>
        <w:tc>
          <w:tcPr>
            <w:tcW w:w="772" w:type="dxa"/>
            <w:tcBorders>
              <w:bottom w:val="single" w:sz="4" w:space="0" w:color="auto"/>
            </w:tcBorders>
            <w:shd w:val="clear" w:color="auto" w:fill="F3F3F3"/>
            <w:vAlign w:val="center"/>
          </w:tcPr>
          <w:p w14:paraId="12424456"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sz w:val="20"/>
                <w:szCs w:val="20"/>
                <w:lang w:val="en-GB"/>
              </w:rPr>
              <w:t>O</w:t>
            </w:r>
            <w:r w:rsidRPr="00E4462A">
              <w:rPr>
                <w:rFonts w:eastAsia="Calibri"/>
                <w:b/>
                <w:sz w:val="20"/>
                <w:szCs w:val="20"/>
                <w:u w:val="single"/>
                <w:lang w:val="en-GB"/>
              </w:rPr>
              <w:t>C</w:t>
            </w:r>
            <w:r w:rsidRPr="00E4462A">
              <w:rPr>
                <w:rFonts w:eastAsia="Calibri"/>
                <w:sz w:val="20"/>
                <w:szCs w:val="20"/>
                <w:lang w:val="en-GB"/>
              </w:rPr>
              <w:t>H</w:t>
            </w:r>
            <w:r w:rsidRPr="00E4462A">
              <w:rPr>
                <w:rFonts w:eastAsia="Calibri"/>
                <w:sz w:val="20"/>
                <w:szCs w:val="20"/>
                <w:vertAlign w:val="subscript"/>
                <w:lang w:val="en-GB"/>
              </w:rPr>
              <w:t>3</w:t>
            </w:r>
          </w:p>
        </w:tc>
        <w:tc>
          <w:tcPr>
            <w:tcW w:w="735" w:type="dxa"/>
            <w:tcBorders>
              <w:bottom w:val="single" w:sz="4" w:space="0" w:color="auto"/>
            </w:tcBorders>
            <w:shd w:val="clear" w:color="auto" w:fill="F3F3F3"/>
            <w:vAlign w:val="center"/>
          </w:tcPr>
          <w:p w14:paraId="13444FD1" w14:textId="77777777" w:rsidR="00043193" w:rsidRPr="00E4462A" w:rsidRDefault="00043193" w:rsidP="0099033B">
            <w:pPr>
              <w:spacing w:after="200" w:line="276" w:lineRule="auto"/>
              <w:jc w:val="center"/>
              <w:rPr>
                <w:rFonts w:eastAsia="Calibri"/>
                <w:sz w:val="20"/>
                <w:szCs w:val="20"/>
                <w:lang w:val="en-GB"/>
              </w:rPr>
            </w:pPr>
            <w:r w:rsidRPr="00E4462A">
              <w:rPr>
                <w:rFonts w:eastAsia="Calibri"/>
                <w:sz w:val="20"/>
                <w:szCs w:val="20"/>
                <w:lang w:val="en-GB"/>
              </w:rPr>
              <w:t>C</w:t>
            </w:r>
            <w:r w:rsidRPr="00E4462A">
              <w:rPr>
                <w:rFonts w:eastAsia="Calibri"/>
                <w:b/>
                <w:sz w:val="20"/>
                <w:szCs w:val="20"/>
                <w:u w:val="single"/>
                <w:lang w:val="en-GB"/>
              </w:rPr>
              <w:t>C</w:t>
            </w:r>
            <w:r w:rsidRPr="00E4462A">
              <w:rPr>
                <w:rFonts w:eastAsia="Calibri"/>
                <w:sz w:val="20"/>
                <w:szCs w:val="20"/>
                <w:lang w:val="en-GB"/>
              </w:rPr>
              <w:t>H</w:t>
            </w:r>
          </w:p>
        </w:tc>
        <w:tc>
          <w:tcPr>
            <w:tcW w:w="1918" w:type="dxa"/>
            <w:gridSpan w:val="2"/>
            <w:tcBorders>
              <w:bottom w:val="single" w:sz="4" w:space="0" w:color="auto"/>
            </w:tcBorders>
            <w:shd w:val="clear" w:color="auto" w:fill="F3F3F3"/>
            <w:vAlign w:val="bottom"/>
          </w:tcPr>
          <w:p w14:paraId="3EB6BDB9" w14:textId="77777777" w:rsidR="00043193" w:rsidRPr="00E4462A" w:rsidRDefault="00043193" w:rsidP="008B22B1">
            <w:pPr>
              <w:spacing w:after="200" w:line="276" w:lineRule="auto"/>
              <w:jc w:val="both"/>
              <w:rPr>
                <w:rFonts w:eastAsia="Calibri"/>
                <w:b/>
                <w:bCs/>
                <w:sz w:val="20"/>
                <w:szCs w:val="20"/>
              </w:rPr>
            </w:pPr>
          </w:p>
        </w:tc>
      </w:tr>
      <w:tr w:rsidR="00043193" w:rsidRPr="00E4462A" w14:paraId="283ECD87" w14:textId="77777777" w:rsidTr="0099033B">
        <w:trPr>
          <w:jc w:val="center"/>
        </w:trPr>
        <w:tc>
          <w:tcPr>
            <w:tcW w:w="1413" w:type="dxa"/>
            <w:shd w:val="clear" w:color="auto" w:fill="auto"/>
            <w:vAlign w:val="center"/>
          </w:tcPr>
          <w:p w14:paraId="26CFBEFC"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FCE-S</w:t>
            </w:r>
          </w:p>
        </w:tc>
        <w:tc>
          <w:tcPr>
            <w:tcW w:w="734" w:type="dxa"/>
            <w:shd w:val="clear" w:color="auto" w:fill="auto"/>
            <w:vAlign w:val="center"/>
          </w:tcPr>
          <w:p w14:paraId="0ADE8C03"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2.5</w:t>
            </w:r>
          </w:p>
        </w:tc>
        <w:tc>
          <w:tcPr>
            <w:tcW w:w="737" w:type="dxa"/>
            <w:shd w:val="clear" w:color="auto" w:fill="auto"/>
            <w:vAlign w:val="center"/>
          </w:tcPr>
          <w:p w14:paraId="16AE06FD"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13.8</w:t>
            </w:r>
          </w:p>
        </w:tc>
        <w:tc>
          <w:tcPr>
            <w:tcW w:w="733" w:type="dxa"/>
            <w:shd w:val="clear" w:color="auto" w:fill="auto"/>
            <w:vAlign w:val="center"/>
          </w:tcPr>
          <w:p w14:paraId="2D4EDEB8"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2.5</w:t>
            </w:r>
          </w:p>
        </w:tc>
        <w:tc>
          <w:tcPr>
            <w:tcW w:w="733" w:type="dxa"/>
            <w:shd w:val="clear" w:color="auto" w:fill="auto"/>
            <w:vAlign w:val="center"/>
          </w:tcPr>
          <w:p w14:paraId="45C30545"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10.3</w:t>
            </w:r>
          </w:p>
        </w:tc>
        <w:tc>
          <w:tcPr>
            <w:tcW w:w="737" w:type="dxa"/>
            <w:shd w:val="clear" w:color="auto" w:fill="auto"/>
            <w:vAlign w:val="center"/>
          </w:tcPr>
          <w:p w14:paraId="65AE0C65"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2.4</w:t>
            </w:r>
          </w:p>
        </w:tc>
        <w:tc>
          <w:tcPr>
            <w:tcW w:w="735" w:type="dxa"/>
            <w:vAlign w:val="center"/>
          </w:tcPr>
          <w:p w14:paraId="611E60D9"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14.2</w:t>
            </w:r>
          </w:p>
        </w:tc>
        <w:tc>
          <w:tcPr>
            <w:tcW w:w="772" w:type="dxa"/>
            <w:shd w:val="clear" w:color="auto" w:fill="auto"/>
            <w:vAlign w:val="center"/>
          </w:tcPr>
          <w:p w14:paraId="65763CB9"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12.6</w:t>
            </w:r>
          </w:p>
        </w:tc>
        <w:tc>
          <w:tcPr>
            <w:tcW w:w="735" w:type="dxa"/>
            <w:shd w:val="clear" w:color="auto" w:fill="auto"/>
            <w:vAlign w:val="center"/>
          </w:tcPr>
          <w:p w14:paraId="04046186"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41.7</w:t>
            </w:r>
          </w:p>
        </w:tc>
        <w:tc>
          <w:tcPr>
            <w:tcW w:w="959" w:type="dxa"/>
            <w:shd w:val="clear" w:color="auto" w:fill="auto"/>
            <w:vAlign w:val="center"/>
          </w:tcPr>
          <w:p w14:paraId="371DFCC4" w14:textId="77777777" w:rsidR="00043193" w:rsidRPr="00E4462A" w:rsidRDefault="00043193" w:rsidP="0099033B">
            <w:pPr>
              <w:jc w:val="center"/>
              <w:rPr>
                <w:b/>
                <w:bCs/>
                <w:sz w:val="20"/>
                <w:szCs w:val="20"/>
              </w:rPr>
            </w:pPr>
            <w:r w:rsidRPr="00E4462A">
              <w:rPr>
                <w:b/>
                <w:bCs/>
                <w:sz w:val="20"/>
                <w:szCs w:val="20"/>
              </w:rPr>
              <w:t>1.62</w:t>
            </w:r>
          </w:p>
        </w:tc>
        <w:tc>
          <w:tcPr>
            <w:tcW w:w="959" w:type="dxa"/>
            <w:shd w:val="clear" w:color="auto" w:fill="auto"/>
            <w:vAlign w:val="center"/>
          </w:tcPr>
          <w:p w14:paraId="1476AFB1" w14:textId="77777777" w:rsidR="00043193" w:rsidRPr="00E4462A" w:rsidRDefault="00043193" w:rsidP="0099033B">
            <w:pPr>
              <w:jc w:val="center"/>
              <w:rPr>
                <w:b/>
                <w:bCs/>
                <w:sz w:val="20"/>
                <w:szCs w:val="20"/>
              </w:rPr>
            </w:pPr>
            <w:r w:rsidRPr="00E4462A">
              <w:rPr>
                <w:b/>
                <w:bCs/>
                <w:sz w:val="20"/>
                <w:szCs w:val="20"/>
              </w:rPr>
              <w:t>0.64</w:t>
            </w:r>
          </w:p>
        </w:tc>
      </w:tr>
      <w:tr w:rsidR="00043193" w:rsidRPr="00E4462A" w14:paraId="30BBD66D" w14:textId="77777777" w:rsidTr="0099033B">
        <w:trPr>
          <w:jc w:val="center"/>
        </w:trPr>
        <w:tc>
          <w:tcPr>
            <w:tcW w:w="1413" w:type="dxa"/>
            <w:shd w:val="clear" w:color="auto" w:fill="auto"/>
            <w:vAlign w:val="center"/>
          </w:tcPr>
          <w:p w14:paraId="0C5F7EAD"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FCE-L</w:t>
            </w:r>
          </w:p>
        </w:tc>
        <w:tc>
          <w:tcPr>
            <w:tcW w:w="734" w:type="dxa"/>
            <w:shd w:val="clear" w:color="auto" w:fill="auto"/>
            <w:vAlign w:val="center"/>
          </w:tcPr>
          <w:p w14:paraId="468B6307"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1.6</w:t>
            </w:r>
          </w:p>
        </w:tc>
        <w:tc>
          <w:tcPr>
            <w:tcW w:w="737" w:type="dxa"/>
            <w:shd w:val="clear" w:color="auto" w:fill="auto"/>
            <w:vAlign w:val="center"/>
          </w:tcPr>
          <w:p w14:paraId="6C62D583"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13.8</w:t>
            </w:r>
          </w:p>
        </w:tc>
        <w:tc>
          <w:tcPr>
            <w:tcW w:w="733" w:type="dxa"/>
            <w:shd w:val="clear" w:color="auto" w:fill="auto"/>
            <w:vAlign w:val="center"/>
          </w:tcPr>
          <w:p w14:paraId="26A5F7DB"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2.2</w:t>
            </w:r>
          </w:p>
        </w:tc>
        <w:tc>
          <w:tcPr>
            <w:tcW w:w="733" w:type="dxa"/>
            <w:shd w:val="clear" w:color="auto" w:fill="auto"/>
            <w:vAlign w:val="center"/>
          </w:tcPr>
          <w:p w14:paraId="48224A60"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9.5</w:t>
            </w:r>
          </w:p>
        </w:tc>
        <w:tc>
          <w:tcPr>
            <w:tcW w:w="737" w:type="dxa"/>
            <w:shd w:val="clear" w:color="auto" w:fill="auto"/>
            <w:vAlign w:val="center"/>
          </w:tcPr>
          <w:p w14:paraId="668C1918"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0.9</w:t>
            </w:r>
          </w:p>
        </w:tc>
        <w:tc>
          <w:tcPr>
            <w:tcW w:w="735" w:type="dxa"/>
            <w:vAlign w:val="center"/>
          </w:tcPr>
          <w:p w14:paraId="27AB8DDB"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11.9</w:t>
            </w:r>
          </w:p>
        </w:tc>
        <w:tc>
          <w:tcPr>
            <w:tcW w:w="772" w:type="dxa"/>
            <w:shd w:val="clear" w:color="auto" w:fill="auto"/>
            <w:vAlign w:val="center"/>
          </w:tcPr>
          <w:p w14:paraId="7B6DBFC1"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11.6</w:t>
            </w:r>
          </w:p>
        </w:tc>
        <w:tc>
          <w:tcPr>
            <w:tcW w:w="735" w:type="dxa"/>
            <w:shd w:val="clear" w:color="auto" w:fill="auto"/>
            <w:vAlign w:val="center"/>
          </w:tcPr>
          <w:p w14:paraId="3C624DF8"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48.5</w:t>
            </w:r>
          </w:p>
        </w:tc>
        <w:tc>
          <w:tcPr>
            <w:tcW w:w="959" w:type="dxa"/>
            <w:shd w:val="clear" w:color="auto" w:fill="auto"/>
            <w:vAlign w:val="center"/>
          </w:tcPr>
          <w:p w14:paraId="2255EA81" w14:textId="77777777" w:rsidR="00043193" w:rsidRPr="00E4462A" w:rsidRDefault="00043193" w:rsidP="0099033B">
            <w:pPr>
              <w:jc w:val="center"/>
              <w:rPr>
                <w:b/>
                <w:bCs/>
                <w:sz w:val="20"/>
                <w:szCs w:val="20"/>
              </w:rPr>
            </w:pPr>
            <w:r w:rsidRPr="00E4462A">
              <w:rPr>
                <w:b/>
                <w:bCs/>
                <w:sz w:val="20"/>
                <w:szCs w:val="20"/>
              </w:rPr>
              <w:t>1.70</w:t>
            </w:r>
          </w:p>
        </w:tc>
        <w:tc>
          <w:tcPr>
            <w:tcW w:w="959" w:type="dxa"/>
            <w:shd w:val="clear" w:color="auto" w:fill="auto"/>
            <w:vAlign w:val="center"/>
          </w:tcPr>
          <w:p w14:paraId="55120E4F" w14:textId="77777777" w:rsidR="00043193" w:rsidRPr="00E4462A" w:rsidRDefault="00043193" w:rsidP="0099033B">
            <w:pPr>
              <w:jc w:val="center"/>
              <w:rPr>
                <w:b/>
                <w:bCs/>
                <w:sz w:val="20"/>
                <w:szCs w:val="20"/>
              </w:rPr>
            </w:pPr>
            <w:r w:rsidRPr="00E4462A">
              <w:rPr>
                <w:b/>
                <w:bCs/>
                <w:sz w:val="20"/>
                <w:szCs w:val="20"/>
              </w:rPr>
              <w:t>0.57</w:t>
            </w:r>
          </w:p>
        </w:tc>
      </w:tr>
      <w:tr w:rsidR="00043193" w:rsidRPr="00E4462A" w14:paraId="2C2E0951" w14:textId="77777777" w:rsidTr="0099033B">
        <w:trPr>
          <w:jc w:val="center"/>
        </w:trPr>
        <w:tc>
          <w:tcPr>
            <w:tcW w:w="1413" w:type="dxa"/>
            <w:tcBorders>
              <w:bottom w:val="single" w:sz="4" w:space="0" w:color="auto"/>
            </w:tcBorders>
            <w:shd w:val="clear" w:color="auto" w:fill="auto"/>
            <w:vAlign w:val="center"/>
          </w:tcPr>
          <w:p w14:paraId="311DD264"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OKA-L</w:t>
            </w:r>
          </w:p>
        </w:tc>
        <w:tc>
          <w:tcPr>
            <w:tcW w:w="734" w:type="dxa"/>
            <w:tcBorders>
              <w:bottom w:val="single" w:sz="4" w:space="0" w:color="auto"/>
            </w:tcBorders>
            <w:shd w:val="clear" w:color="auto" w:fill="auto"/>
            <w:vAlign w:val="center"/>
          </w:tcPr>
          <w:p w14:paraId="601D020B"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2.2</w:t>
            </w:r>
          </w:p>
        </w:tc>
        <w:tc>
          <w:tcPr>
            <w:tcW w:w="737" w:type="dxa"/>
            <w:tcBorders>
              <w:bottom w:val="single" w:sz="4" w:space="0" w:color="auto"/>
            </w:tcBorders>
            <w:shd w:val="clear" w:color="auto" w:fill="auto"/>
            <w:vAlign w:val="center"/>
          </w:tcPr>
          <w:p w14:paraId="53E45748"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14.8</w:t>
            </w:r>
          </w:p>
        </w:tc>
        <w:tc>
          <w:tcPr>
            <w:tcW w:w="733" w:type="dxa"/>
            <w:tcBorders>
              <w:bottom w:val="single" w:sz="4" w:space="0" w:color="auto"/>
            </w:tcBorders>
            <w:shd w:val="clear" w:color="auto" w:fill="auto"/>
            <w:vAlign w:val="center"/>
          </w:tcPr>
          <w:p w14:paraId="79F54596"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5.2</w:t>
            </w:r>
          </w:p>
        </w:tc>
        <w:tc>
          <w:tcPr>
            <w:tcW w:w="733" w:type="dxa"/>
            <w:tcBorders>
              <w:bottom w:val="single" w:sz="4" w:space="0" w:color="auto"/>
            </w:tcBorders>
            <w:shd w:val="clear" w:color="auto" w:fill="auto"/>
            <w:vAlign w:val="center"/>
          </w:tcPr>
          <w:p w14:paraId="517B82ED"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17.2</w:t>
            </w:r>
          </w:p>
        </w:tc>
        <w:tc>
          <w:tcPr>
            <w:tcW w:w="737" w:type="dxa"/>
            <w:tcBorders>
              <w:bottom w:val="single" w:sz="4" w:space="0" w:color="auto"/>
            </w:tcBorders>
            <w:shd w:val="clear" w:color="auto" w:fill="auto"/>
            <w:vAlign w:val="center"/>
          </w:tcPr>
          <w:p w14:paraId="0A5AAC9F"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2.4</w:t>
            </w:r>
          </w:p>
        </w:tc>
        <w:tc>
          <w:tcPr>
            <w:tcW w:w="735" w:type="dxa"/>
            <w:tcBorders>
              <w:bottom w:val="single" w:sz="4" w:space="0" w:color="auto"/>
            </w:tcBorders>
            <w:vAlign w:val="center"/>
          </w:tcPr>
          <w:p w14:paraId="539D002A"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14.7</w:t>
            </w:r>
          </w:p>
        </w:tc>
        <w:tc>
          <w:tcPr>
            <w:tcW w:w="772" w:type="dxa"/>
            <w:tcBorders>
              <w:bottom w:val="single" w:sz="4" w:space="0" w:color="auto"/>
            </w:tcBorders>
            <w:shd w:val="clear" w:color="auto" w:fill="auto"/>
            <w:vAlign w:val="center"/>
          </w:tcPr>
          <w:p w14:paraId="491C3222"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7.9</w:t>
            </w:r>
          </w:p>
        </w:tc>
        <w:tc>
          <w:tcPr>
            <w:tcW w:w="735" w:type="dxa"/>
            <w:tcBorders>
              <w:bottom w:val="single" w:sz="4" w:space="0" w:color="auto"/>
            </w:tcBorders>
            <w:shd w:val="clear" w:color="auto" w:fill="auto"/>
            <w:vAlign w:val="center"/>
          </w:tcPr>
          <w:p w14:paraId="59BC2B40"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35.6</w:t>
            </w:r>
          </w:p>
        </w:tc>
        <w:tc>
          <w:tcPr>
            <w:tcW w:w="959" w:type="dxa"/>
            <w:shd w:val="clear" w:color="auto" w:fill="auto"/>
            <w:vAlign w:val="center"/>
          </w:tcPr>
          <w:p w14:paraId="22D41B7B" w14:textId="77777777" w:rsidR="00043193" w:rsidRPr="00E4462A" w:rsidRDefault="00043193" w:rsidP="0099033B">
            <w:pPr>
              <w:jc w:val="center"/>
              <w:rPr>
                <w:b/>
                <w:bCs/>
                <w:sz w:val="20"/>
                <w:szCs w:val="20"/>
              </w:rPr>
            </w:pPr>
            <w:r w:rsidRPr="00E4462A">
              <w:rPr>
                <w:b/>
                <w:bCs/>
                <w:sz w:val="20"/>
                <w:szCs w:val="20"/>
              </w:rPr>
              <w:t>1.44</w:t>
            </w:r>
          </w:p>
        </w:tc>
        <w:tc>
          <w:tcPr>
            <w:tcW w:w="959" w:type="dxa"/>
            <w:shd w:val="clear" w:color="auto" w:fill="auto"/>
            <w:vAlign w:val="center"/>
          </w:tcPr>
          <w:p w14:paraId="3E2F005F" w14:textId="77777777" w:rsidR="00043193" w:rsidRPr="00E4462A" w:rsidRDefault="00043193" w:rsidP="0099033B">
            <w:pPr>
              <w:jc w:val="center"/>
              <w:rPr>
                <w:b/>
                <w:bCs/>
                <w:sz w:val="20"/>
                <w:szCs w:val="20"/>
              </w:rPr>
            </w:pPr>
            <w:r w:rsidRPr="00E4462A">
              <w:rPr>
                <w:b/>
                <w:bCs/>
                <w:sz w:val="20"/>
                <w:szCs w:val="20"/>
              </w:rPr>
              <w:t>0.64</w:t>
            </w:r>
          </w:p>
        </w:tc>
      </w:tr>
      <w:tr w:rsidR="00043193" w:rsidRPr="00E4462A" w14:paraId="4DDB718E" w14:textId="77777777" w:rsidTr="0099033B">
        <w:trPr>
          <w:jc w:val="center"/>
        </w:trPr>
        <w:tc>
          <w:tcPr>
            <w:tcW w:w="1413" w:type="dxa"/>
            <w:tcBorders>
              <w:bottom w:val="single" w:sz="4" w:space="0" w:color="auto"/>
            </w:tcBorders>
            <w:shd w:val="clear" w:color="auto" w:fill="auto"/>
            <w:vAlign w:val="center"/>
          </w:tcPr>
          <w:p w14:paraId="7D2822DE"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PAN-S</w:t>
            </w:r>
          </w:p>
        </w:tc>
        <w:tc>
          <w:tcPr>
            <w:tcW w:w="734" w:type="dxa"/>
            <w:tcBorders>
              <w:bottom w:val="single" w:sz="4" w:space="0" w:color="auto"/>
            </w:tcBorders>
            <w:shd w:val="clear" w:color="auto" w:fill="auto"/>
            <w:vAlign w:val="center"/>
          </w:tcPr>
          <w:p w14:paraId="07CE9291"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1.8</w:t>
            </w:r>
          </w:p>
        </w:tc>
        <w:tc>
          <w:tcPr>
            <w:tcW w:w="737" w:type="dxa"/>
            <w:tcBorders>
              <w:bottom w:val="single" w:sz="4" w:space="0" w:color="auto"/>
            </w:tcBorders>
            <w:shd w:val="clear" w:color="auto" w:fill="auto"/>
            <w:vAlign w:val="center"/>
          </w:tcPr>
          <w:p w14:paraId="1AD97827"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14.0</w:t>
            </w:r>
          </w:p>
        </w:tc>
        <w:tc>
          <w:tcPr>
            <w:tcW w:w="733" w:type="dxa"/>
            <w:tcBorders>
              <w:bottom w:val="single" w:sz="4" w:space="0" w:color="auto"/>
            </w:tcBorders>
            <w:shd w:val="clear" w:color="auto" w:fill="auto"/>
            <w:vAlign w:val="center"/>
          </w:tcPr>
          <w:p w14:paraId="23E341D8"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5.0</w:t>
            </w:r>
          </w:p>
        </w:tc>
        <w:tc>
          <w:tcPr>
            <w:tcW w:w="733" w:type="dxa"/>
            <w:tcBorders>
              <w:bottom w:val="single" w:sz="4" w:space="0" w:color="auto"/>
            </w:tcBorders>
            <w:shd w:val="clear" w:color="auto" w:fill="auto"/>
            <w:vAlign w:val="center"/>
          </w:tcPr>
          <w:p w14:paraId="6061AE7E"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17.2</w:t>
            </w:r>
          </w:p>
        </w:tc>
        <w:tc>
          <w:tcPr>
            <w:tcW w:w="737" w:type="dxa"/>
            <w:tcBorders>
              <w:bottom w:val="single" w:sz="4" w:space="0" w:color="auto"/>
            </w:tcBorders>
            <w:shd w:val="clear" w:color="auto" w:fill="auto"/>
            <w:vAlign w:val="center"/>
          </w:tcPr>
          <w:p w14:paraId="1E700C5D"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2.7</w:t>
            </w:r>
          </w:p>
        </w:tc>
        <w:tc>
          <w:tcPr>
            <w:tcW w:w="735" w:type="dxa"/>
            <w:tcBorders>
              <w:bottom w:val="single" w:sz="4" w:space="0" w:color="auto"/>
            </w:tcBorders>
            <w:vAlign w:val="center"/>
          </w:tcPr>
          <w:p w14:paraId="4B97178A"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14.5</w:t>
            </w:r>
          </w:p>
        </w:tc>
        <w:tc>
          <w:tcPr>
            <w:tcW w:w="772" w:type="dxa"/>
            <w:tcBorders>
              <w:bottom w:val="single" w:sz="4" w:space="0" w:color="auto"/>
            </w:tcBorders>
            <w:shd w:val="clear" w:color="auto" w:fill="auto"/>
            <w:vAlign w:val="center"/>
          </w:tcPr>
          <w:p w14:paraId="7E6ED51B"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6.9</w:t>
            </w:r>
          </w:p>
        </w:tc>
        <w:tc>
          <w:tcPr>
            <w:tcW w:w="735" w:type="dxa"/>
            <w:tcBorders>
              <w:bottom w:val="single" w:sz="4" w:space="0" w:color="auto"/>
            </w:tcBorders>
            <w:shd w:val="clear" w:color="auto" w:fill="auto"/>
            <w:vAlign w:val="center"/>
          </w:tcPr>
          <w:p w14:paraId="7CF2740D" w14:textId="77777777" w:rsidR="00043193" w:rsidRPr="00E4462A" w:rsidRDefault="00043193" w:rsidP="0099033B">
            <w:pPr>
              <w:spacing w:after="200" w:line="276" w:lineRule="auto"/>
              <w:jc w:val="center"/>
              <w:rPr>
                <w:rFonts w:eastAsia="Calibri"/>
                <w:sz w:val="20"/>
                <w:szCs w:val="20"/>
              </w:rPr>
            </w:pPr>
            <w:r w:rsidRPr="00E4462A">
              <w:rPr>
                <w:rFonts w:eastAsia="Calibri"/>
                <w:sz w:val="20"/>
                <w:szCs w:val="20"/>
              </w:rPr>
              <w:t>37.9</w:t>
            </w:r>
          </w:p>
        </w:tc>
        <w:tc>
          <w:tcPr>
            <w:tcW w:w="959" w:type="dxa"/>
            <w:tcBorders>
              <w:bottom w:val="single" w:sz="4" w:space="0" w:color="auto"/>
            </w:tcBorders>
            <w:shd w:val="clear" w:color="auto" w:fill="auto"/>
            <w:vAlign w:val="center"/>
          </w:tcPr>
          <w:p w14:paraId="7C5B11AD" w14:textId="77777777" w:rsidR="00043193" w:rsidRPr="00E4462A" w:rsidRDefault="00043193" w:rsidP="0099033B">
            <w:pPr>
              <w:jc w:val="center"/>
              <w:rPr>
                <w:b/>
                <w:bCs/>
                <w:sz w:val="20"/>
                <w:szCs w:val="20"/>
              </w:rPr>
            </w:pPr>
            <w:r w:rsidRPr="00E4462A">
              <w:rPr>
                <w:b/>
                <w:bCs/>
                <w:sz w:val="20"/>
                <w:szCs w:val="20"/>
              </w:rPr>
              <w:t>1.45</w:t>
            </w:r>
          </w:p>
        </w:tc>
        <w:tc>
          <w:tcPr>
            <w:tcW w:w="959" w:type="dxa"/>
            <w:tcBorders>
              <w:bottom w:val="single" w:sz="4" w:space="0" w:color="auto"/>
            </w:tcBorders>
            <w:shd w:val="clear" w:color="auto" w:fill="auto"/>
            <w:vAlign w:val="center"/>
          </w:tcPr>
          <w:p w14:paraId="4CC21CE6" w14:textId="77777777" w:rsidR="00043193" w:rsidRPr="00E4462A" w:rsidRDefault="00043193" w:rsidP="0099033B">
            <w:pPr>
              <w:jc w:val="center"/>
              <w:rPr>
                <w:b/>
                <w:bCs/>
                <w:sz w:val="20"/>
                <w:szCs w:val="20"/>
              </w:rPr>
            </w:pPr>
            <w:r w:rsidRPr="00E4462A">
              <w:rPr>
                <w:b/>
                <w:bCs/>
                <w:sz w:val="20"/>
                <w:szCs w:val="20"/>
              </w:rPr>
              <w:t>0.62</w:t>
            </w:r>
          </w:p>
        </w:tc>
      </w:tr>
      <w:tr w:rsidR="00043193" w:rsidRPr="00E4462A" w14:paraId="5393048A" w14:textId="77777777" w:rsidTr="0099033B">
        <w:trPr>
          <w:jc w:val="center"/>
        </w:trPr>
        <w:tc>
          <w:tcPr>
            <w:tcW w:w="1413" w:type="dxa"/>
            <w:tcBorders>
              <w:bottom w:val="single" w:sz="4" w:space="0" w:color="auto"/>
            </w:tcBorders>
            <w:shd w:val="clear" w:color="auto" w:fill="E6E6E6"/>
            <w:vAlign w:val="center"/>
          </w:tcPr>
          <w:p w14:paraId="76A031CB" w14:textId="77777777" w:rsidR="00043193" w:rsidRPr="00E4462A" w:rsidRDefault="00043193" w:rsidP="0099033B">
            <w:pPr>
              <w:spacing w:after="200" w:line="276" w:lineRule="auto"/>
              <w:jc w:val="center"/>
              <w:rPr>
                <w:rFonts w:eastAsia="Calibri"/>
                <w:b/>
                <w:bCs/>
                <w:iCs/>
                <w:sz w:val="20"/>
                <w:szCs w:val="20"/>
              </w:rPr>
            </w:pPr>
            <w:r w:rsidRPr="00E4462A">
              <w:rPr>
                <w:rFonts w:eastAsia="Calibri"/>
                <w:b/>
                <w:bCs/>
                <w:iCs/>
                <w:sz w:val="20"/>
                <w:szCs w:val="20"/>
              </w:rPr>
              <w:t>NMR mixing model</w:t>
            </w:r>
          </w:p>
        </w:tc>
        <w:tc>
          <w:tcPr>
            <w:tcW w:w="734" w:type="dxa"/>
            <w:tcBorders>
              <w:bottom w:val="single" w:sz="4" w:space="0" w:color="auto"/>
            </w:tcBorders>
            <w:shd w:val="clear" w:color="auto" w:fill="E6E6E6"/>
            <w:vAlign w:val="center"/>
          </w:tcPr>
          <w:p w14:paraId="7AA33772"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C=O</w:t>
            </w:r>
          </w:p>
        </w:tc>
        <w:tc>
          <w:tcPr>
            <w:tcW w:w="737" w:type="dxa"/>
            <w:tcBorders>
              <w:bottom w:val="single" w:sz="4" w:space="0" w:color="auto"/>
            </w:tcBorders>
            <w:shd w:val="clear" w:color="auto" w:fill="E6E6E6"/>
            <w:vAlign w:val="center"/>
          </w:tcPr>
          <w:p w14:paraId="6293169C" w14:textId="77777777" w:rsidR="00043193" w:rsidRPr="00E4462A" w:rsidRDefault="00043193" w:rsidP="0099033B">
            <w:pPr>
              <w:spacing w:after="200" w:line="276" w:lineRule="auto"/>
              <w:ind w:left="-108"/>
              <w:jc w:val="center"/>
              <w:rPr>
                <w:rFonts w:eastAsia="Calibri"/>
                <w:b/>
                <w:bCs/>
                <w:sz w:val="20"/>
                <w:szCs w:val="20"/>
              </w:rPr>
            </w:pPr>
            <w:r w:rsidRPr="00E4462A">
              <w:rPr>
                <w:rFonts w:eastAsia="Calibri"/>
                <w:b/>
                <w:bCs/>
                <w:sz w:val="20"/>
                <w:szCs w:val="20"/>
              </w:rPr>
              <w:t>COOH</w:t>
            </w:r>
          </w:p>
        </w:tc>
        <w:tc>
          <w:tcPr>
            <w:tcW w:w="733" w:type="dxa"/>
            <w:tcBorders>
              <w:bottom w:val="single" w:sz="4" w:space="0" w:color="auto"/>
            </w:tcBorders>
            <w:shd w:val="clear" w:color="auto" w:fill="E6E6E6"/>
            <w:vAlign w:val="center"/>
          </w:tcPr>
          <w:p w14:paraId="3FD744CD"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C</w:t>
            </w:r>
            <w:r w:rsidRPr="00E4462A">
              <w:rPr>
                <w:rFonts w:eastAsia="Calibri"/>
                <w:b/>
                <w:bCs/>
                <w:sz w:val="20"/>
                <w:szCs w:val="20"/>
                <w:vertAlign w:val="subscript"/>
              </w:rPr>
              <w:t>ar</w:t>
            </w:r>
            <w:r w:rsidRPr="00E4462A">
              <w:rPr>
                <w:rFonts w:eastAsia="Calibri"/>
                <w:b/>
                <w:bCs/>
                <w:sz w:val="20"/>
                <w:szCs w:val="20"/>
              </w:rPr>
              <w:t>-O</w:t>
            </w:r>
          </w:p>
        </w:tc>
        <w:tc>
          <w:tcPr>
            <w:tcW w:w="733" w:type="dxa"/>
            <w:tcBorders>
              <w:bottom w:val="single" w:sz="4" w:space="0" w:color="auto"/>
            </w:tcBorders>
            <w:shd w:val="clear" w:color="auto" w:fill="E6E6E6"/>
            <w:vAlign w:val="center"/>
          </w:tcPr>
          <w:p w14:paraId="4077360D"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C</w:t>
            </w:r>
            <w:r w:rsidRPr="00E4462A">
              <w:rPr>
                <w:rFonts w:eastAsia="Calibri"/>
                <w:b/>
                <w:bCs/>
                <w:sz w:val="20"/>
                <w:szCs w:val="20"/>
                <w:vertAlign w:val="subscript"/>
              </w:rPr>
              <w:t>ar</w:t>
            </w:r>
            <w:r w:rsidRPr="00E4462A">
              <w:rPr>
                <w:rFonts w:eastAsia="Calibri"/>
                <w:b/>
                <w:bCs/>
                <w:sz w:val="20"/>
                <w:szCs w:val="20"/>
              </w:rPr>
              <w:t>-H</w:t>
            </w:r>
          </w:p>
        </w:tc>
        <w:tc>
          <w:tcPr>
            <w:tcW w:w="737" w:type="dxa"/>
            <w:tcBorders>
              <w:bottom w:val="single" w:sz="4" w:space="0" w:color="auto"/>
            </w:tcBorders>
            <w:shd w:val="clear" w:color="auto" w:fill="E6E6E6"/>
            <w:vAlign w:val="center"/>
          </w:tcPr>
          <w:p w14:paraId="386178CD"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O</w:t>
            </w:r>
            <w:r w:rsidRPr="00E4462A">
              <w:rPr>
                <w:rFonts w:eastAsia="Calibri"/>
                <w:b/>
                <w:bCs/>
                <w:sz w:val="20"/>
                <w:szCs w:val="20"/>
                <w:vertAlign w:val="subscript"/>
              </w:rPr>
              <w:t>2</w:t>
            </w:r>
            <w:r w:rsidRPr="00E4462A">
              <w:rPr>
                <w:rFonts w:eastAsia="Calibri"/>
                <w:b/>
                <w:bCs/>
                <w:sz w:val="20"/>
                <w:szCs w:val="20"/>
              </w:rPr>
              <w:t>CH</w:t>
            </w:r>
          </w:p>
        </w:tc>
        <w:tc>
          <w:tcPr>
            <w:tcW w:w="735" w:type="dxa"/>
            <w:tcBorders>
              <w:bottom w:val="single" w:sz="4" w:space="0" w:color="auto"/>
            </w:tcBorders>
            <w:shd w:val="clear" w:color="auto" w:fill="E6E6E6"/>
            <w:vAlign w:val="center"/>
          </w:tcPr>
          <w:p w14:paraId="0E640F6A"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OCH</w:t>
            </w:r>
          </w:p>
        </w:tc>
        <w:tc>
          <w:tcPr>
            <w:tcW w:w="772" w:type="dxa"/>
            <w:tcBorders>
              <w:bottom w:val="single" w:sz="4" w:space="0" w:color="auto"/>
            </w:tcBorders>
            <w:shd w:val="clear" w:color="auto" w:fill="E6E6E6"/>
            <w:vAlign w:val="center"/>
          </w:tcPr>
          <w:p w14:paraId="2FB01F2A"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OCH</w:t>
            </w:r>
            <w:r w:rsidRPr="00E4462A">
              <w:rPr>
                <w:rFonts w:eastAsia="Calibri"/>
                <w:b/>
                <w:bCs/>
                <w:sz w:val="20"/>
                <w:szCs w:val="20"/>
                <w:vertAlign w:val="subscript"/>
              </w:rPr>
              <w:t>3</w:t>
            </w:r>
          </w:p>
        </w:tc>
        <w:tc>
          <w:tcPr>
            <w:tcW w:w="735" w:type="dxa"/>
            <w:tcBorders>
              <w:bottom w:val="single" w:sz="4" w:space="0" w:color="auto"/>
            </w:tcBorders>
            <w:shd w:val="clear" w:color="auto" w:fill="E6E6E6"/>
            <w:vAlign w:val="center"/>
          </w:tcPr>
          <w:p w14:paraId="12A856F1"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CH</w:t>
            </w:r>
            <w:r w:rsidRPr="00E4462A">
              <w:rPr>
                <w:rFonts w:eastAsia="Calibri"/>
                <w:b/>
                <w:bCs/>
                <w:sz w:val="20"/>
                <w:szCs w:val="20"/>
                <w:vertAlign w:val="subscript"/>
              </w:rPr>
              <w:t>2</w:t>
            </w:r>
          </w:p>
        </w:tc>
        <w:tc>
          <w:tcPr>
            <w:tcW w:w="1918" w:type="dxa"/>
            <w:gridSpan w:val="2"/>
            <w:vMerge w:val="restart"/>
            <w:shd w:val="clear" w:color="auto" w:fill="E6E6E6"/>
          </w:tcPr>
          <w:p w14:paraId="5F1C165E" w14:textId="77777777" w:rsidR="00043193" w:rsidRPr="00E4462A" w:rsidRDefault="00043193" w:rsidP="008B22B1">
            <w:pPr>
              <w:spacing w:after="200" w:line="276" w:lineRule="auto"/>
              <w:jc w:val="both"/>
              <w:rPr>
                <w:rFonts w:eastAsia="Calibri"/>
                <w:bCs/>
                <w:iCs/>
                <w:sz w:val="20"/>
                <w:szCs w:val="20"/>
              </w:rPr>
            </w:pPr>
          </w:p>
        </w:tc>
      </w:tr>
      <w:tr w:rsidR="00043193" w:rsidRPr="00E4462A" w14:paraId="44F1EC5C" w14:textId="77777777" w:rsidTr="0099033B">
        <w:trPr>
          <w:jc w:val="center"/>
        </w:trPr>
        <w:tc>
          <w:tcPr>
            <w:tcW w:w="1413" w:type="dxa"/>
            <w:tcBorders>
              <w:bottom w:val="single" w:sz="4" w:space="0" w:color="auto"/>
            </w:tcBorders>
            <w:shd w:val="clear" w:color="auto" w:fill="auto"/>
            <w:vAlign w:val="center"/>
          </w:tcPr>
          <w:p w14:paraId="4A220DA8"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iCs/>
                <w:sz w:val="20"/>
                <w:szCs w:val="20"/>
              </w:rPr>
              <w:t>H/C ratio</w:t>
            </w:r>
          </w:p>
        </w:tc>
        <w:tc>
          <w:tcPr>
            <w:tcW w:w="734" w:type="dxa"/>
            <w:tcBorders>
              <w:bottom w:val="single" w:sz="4" w:space="0" w:color="auto"/>
            </w:tcBorders>
            <w:shd w:val="clear" w:color="auto" w:fill="auto"/>
            <w:vAlign w:val="center"/>
          </w:tcPr>
          <w:p w14:paraId="1772B29C"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0</w:t>
            </w:r>
          </w:p>
        </w:tc>
        <w:tc>
          <w:tcPr>
            <w:tcW w:w="737" w:type="dxa"/>
            <w:tcBorders>
              <w:bottom w:val="single" w:sz="4" w:space="0" w:color="auto"/>
            </w:tcBorders>
            <w:shd w:val="clear" w:color="auto" w:fill="auto"/>
            <w:vAlign w:val="center"/>
          </w:tcPr>
          <w:p w14:paraId="263AD693" w14:textId="77777777" w:rsidR="00043193" w:rsidRPr="00E4462A" w:rsidRDefault="00043193" w:rsidP="0099033B">
            <w:pPr>
              <w:spacing w:after="200" w:line="276" w:lineRule="auto"/>
              <w:ind w:left="-108"/>
              <w:jc w:val="center"/>
              <w:rPr>
                <w:rFonts w:eastAsia="Calibri"/>
                <w:b/>
                <w:bCs/>
                <w:sz w:val="20"/>
                <w:szCs w:val="20"/>
              </w:rPr>
            </w:pPr>
            <w:r w:rsidRPr="00E4462A">
              <w:rPr>
                <w:rFonts w:eastAsia="Calibri"/>
                <w:b/>
                <w:bCs/>
                <w:sz w:val="20"/>
                <w:szCs w:val="20"/>
              </w:rPr>
              <w:t>1</w:t>
            </w:r>
          </w:p>
        </w:tc>
        <w:tc>
          <w:tcPr>
            <w:tcW w:w="733" w:type="dxa"/>
            <w:tcBorders>
              <w:bottom w:val="single" w:sz="4" w:space="0" w:color="auto"/>
            </w:tcBorders>
            <w:shd w:val="clear" w:color="auto" w:fill="auto"/>
            <w:vAlign w:val="center"/>
          </w:tcPr>
          <w:p w14:paraId="3A469F51"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0</w:t>
            </w:r>
          </w:p>
        </w:tc>
        <w:tc>
          <w:tcPr>
            <w:tcW w:w="733" w:type="dxa"/>
            <w:tcBorders>
              <w:bottom w:val="single" w:sz="4" w:space="0" w:color="auto"/>
            </w:tcBorders>
            <w:shd w:val="clear" w:color="auto" w:fill="auto"/>
            <w:vAlign w:val="center"/>
          </w:tcPr>
          <w:p w14:paraId="425ABF11"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37" w:type="dxa"/>
            <w:tcBorders>
              <w:bottom w:val="single" w:sz="4" w:space="0" w:color="auto"/>
            </w:tcBorders>
            <w:shd w:val="clear" w:color="auto" w:fill="auto"/>
            <w:vAlign w:val="center"/>
          </w:tcPr>
          <w:p w14:paraId="2E60C472"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35" w:type="dxa"/>
            <w:tcBorders>
              <w:bottom w:val="single" w:sz="4" w:space="0" w:color="auto"/>
            </w:tcBorders>
            <w:vAlign w:val="center"/>
          </w:tcPr>
          <w:p w14:paraId="515D1803"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72" w:type="dxa"/>
            <w:tcBorders>
              <w:bottom w:val="single" w:sz="4" w:space="0" w:color="auto"/>
            </w:tcBorders>
            <w:shd w:val="clear" w:color="auto" w:fill="auto"/>
            <w:vAlign w:val="center"/>
          </w:tcPr>
          <w:p w14:paraId="7B6F19AE"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3</w:t>
            </w:r>
          </w:p>
        </w:tc>
        <w:tc>
          <w:tcPr>
            <w:tcW w:w="735" w:type="dxa"/>
            <w:tcBorders>
              <w:bottom w:val="single" w:sz="4" w:space="0" w:color="auto"/>
            </w:tcBorders>
            <w:shd w:val="clear" w:color="auto" w:fill="auto"/>
            <w:vAlign w:val="center"/>
          </w:tcPr>
          <w:p w14:paraId="70392C4F"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2</w:t>
            </w:r>
          </w:p>
        </w:tc>
        <w:tc>
          <w:tcPr>
            <w:tcW w:w="1918" w:type="dxa"/>
            <w:gridSpan w:val="2"/>
            <w:vMerge/>
            <w:shd w:val="clear" w:color="auto" w:fill="auto"/>
          </w:tcPr>
          <w:p w14:paraId="5C65B587" w14:textId="77777777" w:rsidR="00043193" w:rsidRPr="00E4462A" w:rsidRDefault="00043193" w:rsidP="008B22B1">
            <w:pPr>
              <w:spacing w:after="200" w:line="276" w:lineRule="auto"/>
              <w:jc w:val="both"/>
              <w:rPr>
                <w:rFonts w:eastAsia="Calibri"/>
                <w:bCs/>
                <w:iCs/>
                <w:sz w:val="20"/>
                <w:szCs w:val="20"/>
              </w:rPr>
            </w:pPr>
          </w:p>
        </w:tc>
      </w:tr>
      <w:tr w:rsidR="00043193" w:rsidRPr="00E4462A" w14:paraId="62BAAE32" w14:textId="77777777" w:rsidTr="0099033B">
        <w:trPr>
          <w:jc w:val="center"/>
        </w:trPr>
        <w:tc>
          <w:tcPr>
            <w:tcW w:w="1413" w:type="dxa"/>
            <w:tcBorders>
              <w:bottom w:val="single" w:sz="4" w:space="0" w:color="auto"/>
            </w:tcBorders>
            <w:shd w:val="clear" w:color="auto" w:fill="auto"/>
            <w:vAlign w:val="center"/>
          </w:tcPr>
          <w:p w14:paraId="100569FB"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iCs/>
                <w:sz w:val="20"/>
                <w:szCs w:val="20"/>
              </w:rPr>
              <w:t>O/C ratio</w:t>
            </w:r>
          </w:p>
        </w:tc>
        <w:tc>
          <w:tcPr>
            <w:tcW w:w="734" w:type="dxa"/>
            <w:tcBorders>
              <w:bottom w:val="single" w:sz="4" w:space="0" w:color="auto"/>
            </w:tcBorders>
            <w:shd w:val="clear" w:color="auto" w:fill="auto"/>
            <w:vAlign w:val="center"/>
          </w:tcPr>
          <w:p w14:paraId="3ABF6C85"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37" w:type="dxa"/>
            <w:tcBorders>
              <w:bottom w:val="single" w:sz="4" w:space="0" w:color="auto"/>
            </w:tcBorders>
            <w:shd w:val="clear" w:color="auto" w:fill="auto"/>
            <w:vAlign w:val="center"/>
          </w:tcPr>
          <w:p w14:paraId="5CB2F5D8" w14:textId="77777777" w:rsidR="00043193" w:rsidRPr="00E4462A" w:rsidRDefault="00043193" w:rsidP="0099033B">
            <w:pPr>
              <w:spacing w:after="200" w:line="276" w:lineRule="auto"/>
              <w:ind w:left="-108"/>
              <w:jc w:val="center"/>
              <w:rPr>
                <w:rFonts w:eastAsia="Calibri"/>
                <w:b/>
                <w:bCs/>
                <w:sz w:val="20"/>
                <w:szCs w:val="20"/>
              </w:rPr>
            </w:pPr>
            <w:r w:rsidRPr="00E4462A">
              <w:rPr>
                <w:rFonts w:eastAsia="Calibri"/>
                <w:b/>
                <w:bCs/>
                <w:sz w:val="20"/>
                <w:szCs w:val="20"/>
              </w:rPr>
              <w:t>2</w:t>
            </w:r>
          </w:p>
        </w:tc>
        <w:tc>
          <w:tcPr>
            <w:tcW w:w="733" w:type="dxa"/>
            <w:tcBorders>
              <w:bottom w:val="single" w:sz="4" w:space="0" w:color="auto"/>
            </w:tcBorders>
            <w:shd w:val="clear" w:color="auto" w:fill="auto"/>
            <w:vAlign w:val="center"/>
          </w:tcPr>
          <w:p w14:paraId="588E3CE7"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33" w:type="dxa"/>
            <w:tcBorders>
              <w:bottom w:val="single" w:sz="4" w:space="0" w:color="auto"/>
            </w:tcBorders>
            <w:shd w:val="clear" w:color="auto" w:fill="auto"/>
            <w:vAlign w:val="center"/>
          </w:tcPr>
          <w:p w14:paraId="63C35729"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0</w:t>
            </w:r>
          </w:p>
        </w:tc>
        <w:tc>
          <w:tcPr>
            <w:tcW w:w="737" w:type="dxa"/>
            <w:tcBorders>
              <w:bottom w:val="single" w:sz="4" w:space="0" w:color="auto"/>
            </w:tcBorders>
            <w:shd w:val="clear" w:color="auto" w:fill="auto"/>
            <w:vAlign w:val="center"/>
          </w:tcPr>
          <w:p w14:paraId="57F3B9A7"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2</w:t>
            </w:r>
          </w:p>
        </w:tc>
        <w:tc>
          <w:tcPr>
            <w:tcW w:w="735" w:type="dxa"/>
            <w:tcBorders>
              <w:bottom w:val="single" w:sz="4" w:space="0" w:color="auto"/>
            </w:tcBorders>
            <w:vAlign w:val="center"/>
          </w:tcPr>
          <w:p w14:paraId="3C261BE0"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72" w:type="dxa"/>
            <w:tcBorders>
              <w:bottom w:val="single" w:sz="4" w:space="0" w:color="auto"/>
            </w:tcBorders>
            <w:shd w:val="clear" w:color="auto" w:fill="auto"/>
            <w:vAlign w:val="center"/>
          </w:tcPr>
          <w:p w14:paraId="1D0842E8"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1</w:t>
            </w:r>
          </w:p>
        </w:tc>
        <w:tc>
          <w:tcPr>
            <w:tcW w:w="735" w:type="dxa"/>
            <w:tcBorders>
              <w:bottom w:val="single" w:sz="4" w:space="0" w:color="auto"/>
            </w:tcBorders>
            <w:shd w:val="clear" w:color="auto" w:fill="auto"/>
            <w:vAlign w:val="center"/>
          </w:tcPr>
          <w:p w14:paraId="60FB92A6" w14:textId="77777777" w:rsidR="00043193" w:rsidRPr="00E4462A" w:rsidRDefault="00043193" w:rsidP="0099033B">
            <w:pPr>
              <w:spacing w:after="200" w:line="276" w:lineRule="auto"/>
              <w:jc w:val="center"/>
              <w:rPr>
                <w:rFonts w:eastAsia="Calibri"/>
                <w:b/>
                <w:bCs/>
                <w:sz w:val="20"/>
                <w:szCs w:val="20"/>
              </w:rPr>
            </w:pPr>
            <w:r w:rsidRPr="00E4462A">
              <w:rPr>
                <w:rFonts w:eastAsia="Calibri"/>
                <w:b/>
                <w:bCs/>
                <w:sz w:val="20"/>
                <w:szCs w:val="20"/>
              </w:rPr>
              <w:t>0</w:t>
            </w:r>
          </w:p>
        </w:tc>
        <w:tc>
          <w:tcPr>
            <w:tcW w:w="1918" w:type="dxa"/>
            <w:gridSpan w:val="2"/>
            <w:vMerge/>
            <w:tcBorders>
              <w:bottom w:val="single" w:sz="4" w:space="0" w:color="auto"/>
            </w:tcBorders>
            <w:shd w:val="clear" w:color="auto" w:fill="auto"/>
          </w:tcPr>
          <w:p w14:paraId="2E35D860" w14:textId="77777777" w:rsidR="00043193" w:rsidRPr="00E4462A" w:rsidRDefault="00043193" w:rsidP="008B22B1">
            <w:pPr>
              <w:spacing w:after="200" w:line="276" w:lineRule="auto"/>
              <w:jc w:val="both"/>
              <w:rPr>
                <w:rFonts w:eastAsia="Calibri"/>
                <w:bCs/>
                <w:sz w:val="20"/>
                <w:szCs w:val="20"/>
              </w:rPr>
            </w:pPr>
          </w:p>
        </w:tc>
      </w:tr>
    </w:tbl>
    <w:p w14:paraId="2EB98D68" w14:textId="77777777" w:rsidR="00043193" w:rsidRPr="00E4462A" w:rsidRDefault="00043193" w:rsidP="008B22B1">
      <w:pPr>
        <w:spacing w:line="360" w:lineRule="auto"/>
        <w:jc w:val="both"/>
        <w:rPr>
          <w:b/>
          <w:sz w:val="20"/>
          <w:szCs w:val="20"/>
          <w:lang w:val="en-US"/>
        </w:rPr>
      </w:pPr>
    </w:p>
    <w:p w14:paraId="1F728F12" w14:textId="2EEBDA33" w:rsidR="00043193" w:rsidRPr="00E4462A" w:rsidRDefault="00043193" w:rsidP="008B22B1">
      <w:pPr>
        <w:spacing w:line="360" w:lineRule="auto"/>
        <w:jc w:val="both"/>
        <w:rPr>
          <w:sz w:val="20"/>
          <w:szCs w:val="20"/>
          <w:lang w:val="en-US"/>
        </w:rPr>
      </w:pPr>
      <w:r w:rsidRPr="00E4462A">
        <w:rPr>
          <w:b/>
          <w:sz w:val="20"/>
          <w:szCs w:val="20"/>
          <w:lang w:val="en-US"/>
        </w:rPr>
        <w:t xml:space="preserve">Table </w:t>
      </w:r>
      <w:r w:rsidR="00F56627" w:rsidRPr="00E4462A">
        <w:rPr>
          <w:b/>
          <w:sz w:val="20"/>
          <w:szCs w:val="20"/>
          <w:lang w:val="en-US"/>
        </w:rPr>
        <w:t>S1</w:t>
      </w:r>
      <w:r w:rsidRPr="00E4462A">
        <w:rPr>
          <w:b/>
          <w:sz w:val="20"/>
          <w:szCs w:val="20"/>
          <w:lang w:val="en-US"/>
        </w:rPr>
        <w:t>.</w:t>
      </w:r>
      <w:r w:rsidRPr="00E4462A">
        <w:rPr>
          <w:sz w:val="20"/>
          <w:szCs w:val="20"/>
          <w:lang w:val="en-US"/>
        </w:rPr>
        <w:t xml:space="preserve"> </w:t>
      </w:r>
      <w:r w:rsidRPr="00E4462A">
        <w:rPr>
          <w:rFonts w:eastAsia="Calibri"/>
          <w:sz w:val="20"/>
          <w:szCs w:val="20"/>
          <w:lang w:val="en-GB"/>
        </w:rPr>
        <w:t xml:space="preserve">(Top): </w:t>
      </w:r>
      <w:r w:rsidRPr="00E4462A">
        <w:rPr>
          <w:rFonts w:eastAsia="Calibri"/>
          <w:sz w:val="20"/>
          <w:szCs w:val="20"/>
          <w:vertAlign w:val="superscript"/>
          <w:lang w:val="en-GB"/>
        </w:rPr>
        <w:t>13</w:t>
      </w:r>
      <w:r w:rsidRPr="00E4462A">
        <w:rPr>
          <w:rFonts w:eastAsia="Calibri"/>
          <w:sz w:val="20"/>
          <w:szCs w:val="20"/>
          <w:lang w:val="en-GB"/>
        </w:rPr>
        <w:t xml:space="preserve">C NMR section integrals (percent of total carbon) and key substructures of wetland SPE-DOM. Bottom: Substructures used for basic NMR-derived reverse mixing model with nominal H/C and O/C ratios given </w:t>
      </w:r>
      <w:r w:rsidRPr="00E4462A">
        <w:rPr>
          <w:sz w:val="20"/>
          <w:szCs w:val="20"/>
          <w:lang w:val="en-GB"/>
        </w:rPr>
        <w:t>(Hertkorn et al., 2013).</w:t>
      </w:r>
    </w:p>
    <w:p w14:paraId="08E7798A" w14:textId="77777777" w:rsidR="00043193" w:rsidRPr="00E4462A" w:rsidRDefault="00043193" w:rsidP="008B22B1">
      <w:pPr>
        <w:spacing w:after="200" w:line="276" w:lineRule="auto"/>
        <w:jc w:val="both"/>
        <w:rPr>
          <w:sz w:val="20"/>
          <w:szCs w:val="20"/>
          <w:lang w:val="en-GB"/>
        </w:rPr>
      </w:pPr>
      <w:r w:rsidRPr="00E4462A">
        <w:rPr>
          <w:sz w:val="20"/>
          <w:szCs w:val="20"/>
          <w:lang w:val="en-GB"/>
        </w:rPr>
        <w:br w:type="page"/>
      </w:r>
    </w:p>
    <w:p w14:paraId="332E4800" w14:textId="77777777" w:rsidR="00043193" w:rsidRPr="00E4462A" w:rsidRDefault="00043193" w:rsidP="008B22B1">
      <w:pPr>
        <w:spacing w:line="360" w:lineRule="auto"/>
        <w:jc w:val="both"/>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022"/>
        <w:gridCol w:w="755"/>
        <w:gridCol w:w="666"/>
        <w:gridCol w:w="576"/>
        <w:gridCol w:w="666"/>
        <w:gridCol w:w="576"/>
        <w:gridCol w:w="902"/>
        <w:gridCol w:w="796"/>
        <w:gridCol w:w="546"/>
        <w:gridCol w:w="546"/>
        <w:gridCol w:w="866"/>
      </w:tblGrid>
      <w:tr w:rsidR="00D64375" w:rsidRPr="00E4462A" w14:paraId="57F53163" w14:textId="77777777" w:rsidTr="002B3CE9">
        <w:tc>
          <w:tcPr>
            <w:tcW w:w="868" w:type="pct"/>
            <w:shd w:val="clear" w:color="auto" w:fill="D9D9D9"/>
            <w:vAlign w:val="bottom"/>
          </w:tcPr>
          <w:p w14:paraId="118CE991" w14:textId="77777777" w:rsidR="00043193" w:rsidRPr="00E4462A" w:rsidRDefault="00043193" w:rsidP="008B22B1">
            <w:pPr>
              <w:spacing w:beforeLines="20" w:before="48" w:afterLines="20" w:after="48" w:line="200" w:lineRule="exact"/>
              <w:jc w:val="both"/>
              <w:rPr>
                <w:b/>
                <w:bCs/>
                <w:sz w:val="18"/>
                <w:szCs w:val="18"/>
              </w:rPr>
            </w:pPr>
            <w:r w:rsidRPr="00E4462A">
              <w:rPr>
                <w:b/>
                <w:sz w:val="18"/>
                <w:szCs w:val="18"/>
                <w:lang w:val="en-GB"/>
              </w:rPr>
              <w:br w:type="page"/>
            </w:r>
            <w:r w:rsidRPr="00E4462A">
              <w:rPr>
                <w:b/>
                <w:bCs/>
                <w:sz w:val="18"/>
                <w:szCs w:val="18"/>
              </w:rPr>
              <w:t>spectrum</w:t>
            </w:r>
          </w:p>
        </w:tc>
        <w:tc>
          <w:tcPr>
            <w:tcW w:w="535" w:type="pct"/>
            <w:shd w:val="clear" w:color="auto" w:fill="D9D9D9"/>
            <w:vAlign w:val="center"/>
          </w:tcPr>
          <w:p w14:paraId="65E910AD"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Figure</w:t>
            </w:r>
          </w:p>
        </w:tc>
        <w:tc>
          <w:tcPr>
            <w:tcW w:w="396" w:type="pct"/>
            <w:shd w:val="clear" w:color="auto" w:fill="D9D9D9"/>
            <w:vAlign w:val="center"/>
          </w:tcPr>
          <w:p w14:paraId="3931B51C"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PK</w:t>
            </w:r>
          </w:p>
        </w:tc>
        <w:tc>
          <w:tcPr>
            <w:tcW w:w="347" w:type="pct"/>
            <w:shd w:val="clear" w:color="auto" w:fill="D9D9D9"/>
            <w:vAlign w:val="center"/>
          </w:tcPr>
          <w:p w14:paraId="42FDBB1A"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NS</w:t>
            </w:r>
          </w:p>
        </w:tc>
        <w:tc>
          <w:tcPr>
            <w:tcW w:w="300" w:type="pct"/>
            <w:shd w:val="clear" w:color="auto" w:fill="D9D9D9"/>
            <w:vAlign w:val="center"/>
          </w:tcPr>
          <w:p w14:paraId="1AFFBCAC"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AQ [ms]</w:t>
            </w:r>
          </w:p>
        </w:tc>
        <w:tc>
          <w:tcPr>
            <w:tcW w:w="347" w:type="pct"/>
            <w:shd w:val="clear" w:color="auto" w:fill="D9D9D9"/>
            <w:vAlign w:val="center"/>
          </w:tcPr>
          <w:p w14:paraId="5FF5DF5C"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D1 [ms]</w:t>
            </w:r>
          </w:p>
        </w:tc>
        <w:tc>
          <w:tcPr>
            <w:tcW w:w="300" w:type="pct"/>
            <w:shd w:val="clear" w:color="auto" w:fill="D9D9D9"/>
            <w:vAlign w:val="center"/>
          </w:tcPr>
          <w:p w14:paraId="7686B432"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NE</w:t>
            </w:r>
          </w:p>
        </w:tc>
        <w:tc>
          <w:tcPr>
            <w:tcW w:w="472" w:type="pct"/>
            <w:shd w:val="clear" w:color="auto" w:fill="D9D9D9"/>
            <w:vAlign w:val="center"/>
          </w:tcPr>
          <w:p w14:paraId="28BBD1F5"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WDW1</w:t>
            </w:r>
          </w:p>
        </w:tc>
        <w:tc>
          <w:tcPr>
            <w:tcW w:w="414" w:type="pct"/>
            <w:shd w:val="clear" w:color="auto" w:fill="D9D9D9"/>
            <w:vAlign w:val="center"/>
          </w:tcPr>
          <w:p w14:paraId="48727E24"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WDW2</w:t>
            </w:r>
          </w:p>
        </w:tc>
        <w:tc>
          <w:tcPr>
            <w:tcW w:w="284" w:type="pct"/>
            <w:shd w:val="clear" w:color="auto" w:fill="D9D9D9"/>
            <w:vAlign w:val="center"/>
          </w:tcPr>
          <w:p w14:paraId="6B5E189F"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PR1</w:t>
            </w:r>
          </w:p>
        </w:tc>
        <w:tc>
          <w:tcPr>
            <w:tcW w:w="284" w:type="pct"/>
            <w:shd w:val="clear" w:color="auto" w:fill="D9D9D9"/>
            <w:vAlign w:val="center"/>
          </w:tcPr>
          <w:p w14:paraId="13E37B09"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PR2</w:t>
            </w:r>
          </w:p>
        </w:tc>
        <w:tc>
          <w:tcPr>
            <w:tcW w:w="453" w:type="pct"/>
            <w:shd w:val="clear" w:color="auto" w:fill="D9D9D9"/>
            <w:vAlign w:val="center"/>
          </w:tcPr>
          <w:p w14:paraId="18F3B1B5" w14:textId="77777777" w:rsidR="00043193" w:rsidRPr="00E4462A" w:rsidRDefault="00043193" w:rsidP="0099033B">
            <w:pPr>
              <w:spacing w:beforeLines="20" w:before="48" w:afterLines="20" w:after="48" w:line="200" w:lineRule="exact"/>
              <w:jc w:val="center"/>
              <w:rPr>
                <w:b/>
                <w:bCs/>
                <w:sz w:val="18"/>
                <w:szCs w:val="18"/>
              </w:rPr>
            </w:pPr>
            <w:r w:rsidRPr="00E4462A">
              <w:rPr>
                <w:b/>
                <w:bCs/>
                <w:sz w:val="18"/>
                <w:szCs w:val="18"/>
              </w:rPr>
              <w:t>SPE-DOM [mg]</w:t>
            </w:r>
          </w:p>
        </w:tc>
      </w:tr>
      <w:tr w:rsidR="00D64375" w:rsidRPr="00E4462A" w14:paraId="3996D77D" w14:textId="77777777" w:rsidTr="002B3CE9">
        <w:tc>
          <w:tcPr>
            <w:tcW w:w="868" w:type="pct"/>
            <w:shd w:val="clear" w:color="auto" w:fill="auto"/>
            <w:vAlign w:val="center"/>
          </w:tcPr>
          <w:p w14:paraId="74748B7D"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w:t>
            </w:r>
            <w:r w:rsidRPr="00E4462A">
              <w:rPr>
                <w:sz w:val="18"/>
                <w:szCs w:val="18"/>
              </w:rPr>
              <w:t>H NMR</w:t>
            </w:r>
          </w:p>
        </w:tc>
        <w:tc>
          <w:tcPr>
            <w:tcW w:w="535" w:type="pct"/>
            <w:shd w:val="clear" w:color="auto" w:fill="auto"/>
            <w:vAlign w:val="center"/>
          </w:tcPr>
          <w:p w14:paraId="36182329" w14:textId="77777777" w:rsidR="00043193" w:rsidRPr="00E4462A" w:rsidRDefault="00043193" w:rsidP="0099033B">
            <w:pPr>
              <w:spacing w:before="20" w:afterLines="20" w:after="48" w:line="220" w:lineRule="exact"/>
              <w:jc w:val="center"/>
              <w:rPr>
                <w:sz w:val="18"/>
                <w:szCs w:val="18"/>
              </w:rPr>
            </w:pPr>
            <w:r w:rsidRPr="00E4462A">
              <w:rPr>
                <w:sz w:val="18"/>
                <w:szCs w:val="18"/>
              </w:rPr>
              <w:t>2, S1</w:t>
            </w:r>
          </w:p>
        </w:tc>
        <w:tc>
          <w:tcPr>
            <w:tcW w:w="396" w:type="pct"/>
            <w:shd w:val="clear" w:color="auto" w:fill="auto"/>
            <w:vAlign w:val="center"/>
          </w:tcPr>
          <w:p w14:paraId="5709B356" w14:textId="77777777" w:rsidR="00043193" w:rsidRPr="00E4462A" w:rsidRDefault="00043193" w:rsidP="0099033B">
            <w:pPr>
              <w:spacing w:before="20" w:afterLines="20" w:after="48" w:line="220" w:lineRule="exact"/>
              <w:jc w:val="center"/>
              <w:rPr>
                <w:sz w:val="18"/>
                <w:szCs w:val="18"/>
              </w:rPr>
            </w:pPr>
            <w:r w:rsidRPr="00E4462A">
              <w:rPr>
                <w:sz w:val="18"/>
                <w:szCs w:val="18"/>
              </w:rPr>
              <w:t>5TXI</w:t>
            </w:r>
          </w:p>
        </w:tc>
        <w:tc>
          <w:tcPr>
            <w:tcW w:w="347" w:type="pct"/>
            <w:shd w:val="clear" w:color="auto" w:fill="auto"/>
            <w:vAlign w:val="center"/>
          </w:tcPr>
          <w:p w14:paraId="2A31C31C" w14:textId="77777777" w:rsidR="00043193" w:rsidRPr="00E4462A" w:rsidRDefault="00043193" w:rsidP="0099033B">
            <w:pPr>
              <w:spacing w:before="20" w:afterLines="20" w:after="48" w:line="220" w:lineRule="exact"/>
              <w:jc w:val="center"/>
              <w:rPr>
                <w:sz w:val="18"/>
                <w:szCs w:val="18"/>
              </w:rPr>
            </w:pPr>
            <w:r w:rsidRPr="00E4462A">
              <w:rPr>
                <w:sz w:val="18"/>
                <w:szCs w:val="18"/>
              </w:rPr>
              <w:t>512-1024</w:t>
            </w:r>
          </w:p>
        </w:tc>
        <w:tc>
          <w:tcPr>
            <w:tcW w:w="300" w:type="pct"/>
            <w:shd w:val="clear" w:color="auto" w:fill="auto"/>
            <w:vAlign w:val="center"/>
          </w:tcPr>
          <w:p w14:paraId="5216CCFB" w14:textId="77777777" w:rsidR="00043193" w:rsidRPr="00E4462A" w:rsidRDefault="00043193" w:rsidP="0099033B">
            <w:pPr>
              <w:spacing w:before="20" w:afterLines="20" w:after="48" w:line="220" w:lineRule="exact"/>
              <w:jc w:val="center"/>
              <w:rPr>
                <w:sz w:val="18"/>
                <w:szCs w:val="18"/>
              </w:rPr>
            </w:pPr>
            <w:r w:rsidRPr="00E4462A">
              <w:rPr>
                <w:sz w:val="18"/>
                <w:szCs w:val="18"/>
              </w:rPr>
              <w:t>5000</w:t>
            </w:r>
          </w:p>
        </w:tc>
        <w:tc>
          <w:tcPr>
            <w:tcW w:w="347" w:type="pct"/>
            <w:shd w:val="clear" w:color="auto" w:fill="auto"/>
            <w:vAlign w:val="center"/>
          </w:tcPr>
          <w:p w14:paraId="4FC2A1C8" w14:textId="77777777" w:rsidR="00043193" w:rsidRPr="00E4462A" w:rsidRDefault="00043193" w:rsidP="0099033B">
            <w:pPr>
              <w:spacing w:before="20" w:afterLines="20" w:after="48" w:line="220" w:lineRule="exact"/>
              <w:jc w:val="center"/>
              <w:rPr>
                <w:sz w:val="18"/>
                <w:szCs w:val="18"/>
              </w:rPr>
            </w:pPr>
            <w:r w:rsidRPr="00E4462A">
              <w:rPr>
                <w:sz w:val="18"/>
                <w:szCs w:val="18"/>
              </w:rPr>
              <w:t>10000</w:t>
            </w:r>
          </w:p>
        </w:tc>
        <w:tc>
          <w:tcPr>
            <w:tcW w:w="300" w:type="pct"/>
            <w:shd w:val="clear" w:color="auto" w:fill="auto"/>
            <w:vAlign w:val="center"/>
          </w:tcPr>
          <w:p w14:paraId="78C5655F"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72" w:type="pct"/>
            <w:shd w:val="clear" w:color="auto" w:fill="auto"/>
            <w:vAlign w:val="center"/>
          </w:tcPr>
          <w:p w14:paraId="47CEE70C"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14" w:type="pct"/>
            <w:shd w:val="clear" w:color="auto" w:fill="auto"/>
            <w:vAlign w:val="center"/>
          </w:tcPr>
          <w:p w14:paraId="678282CF" w14:textId="77777777" w:rsidR="00043193" w:rsidRPr="00E4462A" w:rsidRDefault="00043193" w:rsidP="0099033B">
            <w:pPr>
              <w:spacing w:before="20" w:afterLines="20" w:after="48" w:line="220" w:lineRule="exact"/>
              <w:jc w:val="center"/>
              <w:rPr>
                <w:sz w:val="18"/>
                <w:szCs w:val="18"/>
              </w:rPr>
            </w:pPr>
            <w:r w:rsidRPr="00E4462A">
              <w:rPr>
                <w:sz w:val="18"/>
                <w:szCs w:val="18"/>
              </w:rPr>
              <w:t>EM</w:t>
            </w:r>
          </w:p>
        </w:tc>
        <w:tc>
          <w:tcPr>
            <w:tcW w:w="284" w:type="pct"/>
            <w:shd w:val="clear" w:color="auto" w:fill="auto"/>
            <w:vAlign w:val="center"/>
          </w:tcPr>
          <w:p w14:paraId="14E13C08"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284" w:type="pct"/>
            <w:shd w:val="clear" w:color="auto" w:fill="auto"/>
            <w:vAlign w:val="center"/>
          </w:tcPr>
          <w:p w14:paraId="1FC8C9E9" w14:textId="77777777" w:rsidR="00043193" w:rsidRPr="00E4462A" w:rsidRDefault="00043193" w:rsidP="0099033B">
            <w:pPr>
              <w:spacing w:before="20" w:afterLines="20" w:after="48" w:line="220" w:lineRule="exact"/>
              <w:jc w:val="center"/>
              <w:rPr>
                <w:sz w:val="18"/>
                <w:szCs w:val="18"/>
              </w:rPr>
            </w:pPr>
            <w:r w:rsidRPr="00E4462A">
              <w:rPr>
                <w:sz w:val="18"/>
                <w:szCs w:val="18"/>
              </w:rPr>
              <w:t>1</w:t>
            </w:r>
          </w:p>
        </w:tc>
        <w:tc>
          <w:tcPr>
            <w:tcW w:w="453" w:type="pct"/>
            <w:vAlign w:val="center"/>
          </w:tcPr>
          <w:p w14:paraId="74F6C2AA" w14:textId="77777777" w:rsidR="00043193" w:rsidRPr="00E4462A" w:rsidRDefault="00043193" w:rsidP="0099033B">
            <w:pPr>
              <w:spacing w:before="20" w:afterLines="20" w:after="48" w:line="220" w:lineRule="exact"/>
              <w:jc w:val="center"/>
              <w:rPr>
                <w:sz w:val="18"/>
                <w:szCs w:val="18"/>
                <w:lang w:val="en-US"/>
              </w:rPr>
            </w:pPr>
            <w:r w:rsidRPr="00E4462A">
              <w:rPr>
                <w:sz w:val="18"/>
                <w:szCs w:val="18"/>
                <w:lang w:val="en-US"/>
              </w:rPr>
              <w:t>3.7 – 9.5 mg</w:t>
            </w:r>
          </w:p>
        </w:tc>
      </w:tr>
      <w:tr w:rsidR="00D64375" w:rsidRPr="00E4462A" w14:paraId="775F5EFC" w14:textId="77777777" w:rsidTr="002B3CE9">
        <w:tc>
          <w:tcPr>
            <w:tcW w:w="868" w:type="pct"/>
            <w:shd w:val="clear" w:color="auto" w:fill="auto"/>
            <w:vAlign w:val="center"/>
          </w:tcPr>
          <w:p w14:paraId="6AD5A741" w14:textId="187DC20A" w:rsidR="00043193" w:rsidRPr="00E4462A" w:rsidRDefault="00043193" w:rsidP="008B22B1">
            <w:pPr>
              <w:spacing w:before="20" w:afterLines="20" w:after="48" w:line="220" w:lineRule="exact"/>
              <w:jc w:val="both"/>
              <w:rPr>
                <w:sz w:val="18"/>
                <w:szCs w:val="18"/>
              </w:rPr>
            </w:pPr>
          </w:p>
        </w:tc>
        <w:tc>
          <w:tcPr>
            <w:tcW w:w="535" w:type="pct"/>
            <w:shd w:val="clear" w:color="auto" w:fill="auto"/>
            <w:vAlign w:val="center"/>
          </w:tcPr>
          <w:p w14:paraId="217E6871" w14:textId="2B89BF51" w:rsidR="00043193" w:rsidRPr="00E4462A" w:rsidRDefault="00043193" w:rsidP="0099033B">
            <w:pPr>
              <w:spacing w:before="20" w:afterLines="20" w:after="48" w:line="220" w:lineRule="exact"/>
              <w:jc w:val="center"/>
              <w:rPr>
                <w:sz w:val="18"/>
                <w:szCs w:val="18"/>
              </w:rPr>
            </w:pPr>
          </w:p>
        </w:tc>
        <w:tc>
          <w:tcPr>
            <w:tcW w:w="396" w:type="pct"/>
            <w:shd w:val="clear" w:color="auto" w:fill="auto"/>
            <w:vAlign w:val="center"/>
          </w:tcPr>
          <w:p w14:paraId="09798C66" w14:textId="5E7D5D6A" w:rsidR="00043193" w:rsidRPr="00E4462A" w:rsidRDefault="00043193" w:rsidP="0099033B">
            <w:pPr>
              <w:spacing w:before="20" w:afterLines="20" w:after="48" w:line="220" w:lineRule="exact"/>
              <w:jc w:val="center"/>
              <w:rPr>
                <w:sz w:val="18"/>
                <w:szCs w:val="18"/>
              </w:rPr>
            </w:pPr>
          </w:p>
        </w:tc>
        <w:tc>
          <w:tcPr>
            <w:tcW w:w="347" w:type="pct"/>
            <w:shd w:val="clear" w:color="auto" w:fill="auto"/>
            <w:vAlign w:val="center"/>
          </w:tcPr>
          <w:p w14:paraId="170BD443" w14:textId="0A75A74B" w:rsidR="00043193" w:rsidRPr="00E4462A" w:rsidRDefault="00043193" w:rsidP="0099033B">
            <w:pPr>
              <w:spacing w:before="20" w:afterLines="20" w:after="48" w:line="220" w:lineRule="exact"/>
              <w:jc w:val="center"/>
              <w:rPr>
                <w:sz w:val="18"/>
                <w:szCs w:val="18"/>
              </w:rPr>
            </w:pPr>
          </w:p>
        </w:tc>
        <w:tc>
          <w:tcPr>
            <w:tcW w:w="300" w:type="pct"/>
            <w:shd w:val="clear" w:color="auto" w:fill="auto"/>
            <w:vAlign w:val="center"/>
          </w:tcPr>
          <w:p w14:paraId="3BDAD273" w14:textId="5E9F9E6B" w:rsidR="00043193" w:rsidRPr="00E4462A" w:rsidRDefault="00043193" w:rsidP="0099033B">
            <w:pPr>
              <w:spacing w:before="20" w:afterLines="20" w:after="48" w:line="220" w:lineRule="exact"/>
              <w:jc w:val="center"/>
              <w:rPr>
                <w:sz w:val="18"/>
                <w:szCs w:val="18"/>
              </w:rPr>
            </w:pPr>
          </w:p>
        </w:tc>
        <w:tc>
          <w:tcPr>
            <w:tcW w:w="347" w:type="pct"/>
            <w:shd w:val="clear" w:color="auto" w:fill="auto"/>
            <w:vAlign w:val="center"/>
          </w:tcPr>
          <w:p w14:paraId="54C863E3" w14:textId="2C8D553A" w:rsidR="00043193" w:rsidRPr="00E4462A" w:rsidRDefault="00043193" w:rsidP="0099033B">
            <w:pPr>
              <w:spacing w:before="20" w:afterLines="20" w:after="48" w:line="220" w:lineRule="exact"/>
              <w:jc w:val="center"/>
              <w:rPr>
                <w:sz w:val="18"/>
                <w:szCs w:val="18"/>
              </w:rPr>
            </w:pPr>
          </w:p>
        </w:tc>
        <w:tc>
          <w:tcPr>
            <w:tcW w:w="300" w:type="pct"/>
            <w:shd w:val="clear" w:color="auto" w:fill="auto"/>
            <w:vAlign w:val="center"/>
          </w:tcPr>
          <w:p w14:paraId="26ACDAB3" w14:textId="450B4A31" w:rsidR="00043193" w:rsidRPr="00E4462A" w:rsidRDefault="00043193" w:rsidP="0099033B">
            <w:pPr>
              <w:spacing w:before="20" w:afterLines="20" w:after="48" w:line="220" w:lineRule="exact"/>
              <w:jc w:val="center"/>
              <w:rPr>
                <w:sz w:val="18"/>
                <w:szCs w:val="18"/>
              </w:rPr>
            </w:pPr>
          </w:p>
        </w:tc>
        <w:tc>
          <w:tcPr>
            <w:tcW w:w="472" w:type="pct"/>
            <w:shd w:val="clear" w:color="auto" w:fill="auto"/>
            <w:vAlign w:val="center"/>
          </w:tcPr>
          <w:p w14:paraId="504ED9B2" w14:textId="5D2A1583" w:rsidR="00043193" w:rsidRPr="00E4462A" w:rsidRDefault="00043193" w:rsidP="0099033B">
            <w:pPr>
              <w:spacing w:before="20" w:afterLines="20" w:after="48" w:line="220" w:lineRule="exact"/>
              <w:jc w:val="center"/>
              <w:rPr>
                <w:sz w:val="18"/>
                <w:szCs w:val="18"/>
              </w:rPr>
            </w:pPr>
          </w:p>
        </w:tc>
        <w:tc>
          <w:tcPr>
            <w:tcW w:w="414" w:type="pct"/>
            <w:shd w:val="clear" w:color="auto" w:fill="auto"/>
            <w:vAlign w:val="center"/>
          </w:tcPr>
          <w:p w14:paraId="7C02653E" w14:textId="32882905" w:rsidR="00043193" w:rsidRPr="00E4462A" w:rsidRDefault="00043193" w:rsidP="0099033B">
            <w:pPr>
              <w:spacing w:before="20" w:afterLines="20" w:after="48" w:line="220" w:lineRule="exact"/>
              <w:jc w:val="center"/>
              <w:rPr>
                <w:sz w:val="18"/>
                <w:szCs w:val="18"/>
              </w:rPr>
            </w:pPr>
          </w:p>
        </w:tc>
        <w:tc>
          <w:tcPr>
            <w:tcW w:w="284" w:type="pct"/>
            <w:shd w:val="clear" w:color="auto" w:fill="auto"/>
            <w:vAlign w:val="center"/>
          </w:tcPr>
          <w:p w14:paraId="02F2E4BA" w14:textId="77777777" w:rsidR="00043193" w:rsidRPr="00E4462A" w:rsidRDefault="00043193" w:rsidP="0099033B">
            <w:pPr>
              <w:pStyle w:val="ListParagraph"/>
              <w:spacing w:before="20" w:afterLines="20" w:after="48" w:line="220" w:lineRule="exact"/>
              <w:jc w:val="center"/>
              <w:rPr>
                <w:sz w:val="18"/>
                <w:szCs w:val="18"/>
              </w:rPr>
            </w:pPr>
          </w:p>
        </w:tc>
        <w:tc>
          <w:tcPr>
            <w:tcW w:w="284" w:type="pct"/>
            <w:shd w:val="clear" w:color="auto" w:fill="auto"/>
            <w:vAlign w:val="center"/>
          </w:tcPr>
          <w:p w14:paraId="3B3D67F2" w14:textId="2C9A63E8" w:rsidR="00043193" w:rsidRPr="00E4462A" w:rsidRDefault="00043193" w:rsidP="0099033B">
            <w:pPr>
              <w:spacing w:before="20" w:afterLines="20" w:after="48" w:line="220" w:lineRule="exact"/>
              <w:jc w:val="center"/>
              <w:rPr>
                <w:sz w:val="18"/>
                <w:szCs w:val="18"/>
              </w:rPr>
            </w:pPr>
          </w:p>
        </w:tc>
        <w:tc>
          <w:tcPr>
            <w:tcW w:w="453" w:type="pct"/>
            <w:vAlign w:val="center"/>
          </w:tcPr>
          <w:p w14:paraId="3DC9877B" w14:textId="39F792E0" w:rsidR="00043193" w:rsidRPr="00E4462A" w:rsidRDefault="00043193" w:rsidP="0099033B">
            <w:pPr>
              <w:spacing w:before="20" w:afterLines="20" w:after="48" w:line="220" w:lineRule="exact"/>
              <w:jc w:val="center"/>
              <w:rPr>
                <w:sz w:val="18"/>
                <w:szCs w:val="18"/>
                <w:lang w:val="en-US"/>
              </w:rPr>
            </w:pPr>
          </w:p>
        </w:tc>
      </w:tr>
      <w:tr w:rsidR="00D64375" w:rsidRPr="00E4462A" w14:paraId="364C1751" w14:textId="77777777" w:rsidTr="002B3CE9">
        <w:tc>
          <w:tcPr>
            <w:tcW w:w="868" w:type="pct"/>
            <w:shd w:val="clear" w:color="auto" w:fill="auto"/>
            <w:vAlign w:val="center"/>
          </w:tcPr>
          <w:p w14:paraId="20CBD991"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13</w:t>
            </w:r>
            <w:r w:rsidRPr="00E4462A">
              <w:rPr>
                <w:sz w:val="18"/>
                <w:szCs w:val="18"/>
              </w:rPr>
              <w:t>C NMR</w:t>
            </w:r>
          </w:p>
        </w:tc>
        <w:tc>
          <w:tcPr>
            <w:tcW w:w="535" w:type="pct"/>
            <w:shd w:val="clear" w:color="auto" w:fill="auto"/>
            <w:vAlign w:val="center"/>
          </w:tcPr>
          <w:p w14:paraId="4766586E" w14:textId="77777777" w:rsidR="00043193" w:rsidRPr="00E4462A" w:rsidRDefault="00043193" w:rsidP="0099033B">
            <w:pPr>
              <w:spacing w:before="20" w:afterLines="20" w:after="48" w:line="220" w:lineRule="exact"/>
              <w:jc w:val="center"/>
              <w:rPr>
                <w:sz w:val="18"/>
                <w:szCs w:val="18"/>
              </w:rPr>
            </w:pPr>
            <w:r w:rsidRPr="00E4462A">
              <w:rPr>
                <w:sz w:val="18"/>
                <w:szCs w:val="18"/>
              </w:rPr>
              <w:t>S3</w:t>
            </w:r>
          </w:p>
        </w:tc>
        <w:tc>
          <w:tcPr>
            <w:tcW w:w="396" w:type="pct"/>
            <w:shd w:val="clear" w:color="auto" w:fill="auto"/>
            <w:vAlign w:val="center"/>
          </w:tcPr>
          <w:p w14:paraId="3C5B5C1D" w14:textId="77777777" w:rsidR="00043193" w:rsidRPr="00E4462A" w:rsidRDefault="00043193" w:rsidP="0099033B">
            <w:pPr>
              <w:spacing w:before="20" w:afterLines="20" w:after="48" w:line="220" w:lineRule="exact"/>
              <w:jc w:val="center"/>
              <w:rPr>
                <w:sz w:val="18"/>
                <w:szCs w:val="18"/>
              </w:rPr>
            </w:pPr>
            <w:r w:rsidRPr="00E4462A">
              <w:rPr>
                <w:sz w:val="18"/>
                <w:szCs w:val="18"/>
              </w:rPr>
              <w:t>5D</w:t>
            </w:r>
          </w:p>
        </w:tc>
        <w:tc>
          <w:tcPr>
            <w:tcW w:w="347" w:type="pct"/>
            <w:shd w:val="clear" w:color="auto" w:fill="auto"/>
            <w:vAlign w:val="center"/>
          </w:tcPr>
          <w:p w14:paraId="17E98A72" w14:textId="77777777" w:rsidR="00043193" w:rsidRPr="00E4462A" w:rsidRDefault="00043193" w:rsidP="0099033B">
            <w:pPr>
              <w:spacing w:before="20" w:afterLines="20" w:after="48" w:line="220" w:lineRule="exact"/>
              <w:jc w:val="center"/>
              <w:rPr>
                <w:sz w:val="18"/>
                <w:szCs w:val="18"/>
              </w:rPr>
            </w:pPr>
            <w:r w:rsidRPr="00E4462A">
              <w:rPr>
                <w:sz w:val="18"/>
                <w:szCs w:val="18"/>
              </w:rPr>
              <w:t>74496</w:t>
            </w:r>
          </w:p>
        </w:tc>
        <w:tc>
          <w:tcPr>
            <w:tcW w:w="300" w:type="pct"/>
            <w:shd w:val="clear" w:color="auto" w:fill="auto"/>
            <w:vAlign w:val="center"/>
          </w:tcPr>
          <w:p w14:paraId="7570FCF2" w14:textId="77777777" w:rsidR="00043193" w:rsidRPr="00E4462A" w:rsidRDefault="00043193" w:rsidP="0099033B">
            <w:pPr>
              <w:spacing w:before="20" w:afterLines="20" w:after="48" w:line="220" w:lineRule="exact"/>
              <w:jc w:val="center"/>
              <w:rPr>
                <w:sz w:val="18"/>
                <w:szCs w:val="18"/>
              </w:rPr>
            </w:pPr>
            <w:r w:rsidRPr="00E4462A">
              <w:rPr>
                <w:sz w:val="18"/>
                <w:szCs w:val="18"/>
              </w:rPr>
              <w:t>1000</w:t>
            </w:r>
          </w:p>
        </w:tc>
        <w:tc>
          <w:tcPr>
            <w:tcW w:w="347" w:type="pct"/>
            <w:shd w:val="clear" w:color="auto" w:fill="auto"/>
            <w:vAlign w:val="center"/>
          </w:tcPr>
          <w:p w14:paraId="0AA4BF56" w14:textId="77777777" w:rsidR="00043193" w:rsidRPr="00E4462A" w:rsidRDefault="00043193" w:rsidP="0099033B">
            <w:pPr>
              <w:spacing w:before="20" w:afterLines="20" w:after="48" w:line="220" w:lineRule="exact"/>
              <w:jc w:val="center"/>
              <w:rPr>
                <w:sz w:val="18"/>
                <w:szCs w:val="18"/>
              </w:rPr>
            </w:pPr>
            <w:r w:rsidRPr="00E4462A">
              <w:rPr>
                <w:sz w:val="18"/>
                <w:szCs w:val="18"/>
              </w:rPr>
              <w:t>14000</w:t>
            </w:r>
          </w:p>
        </w:tc>
        <w:tc>
          <w:tcPr>
            <w:tcW w:w="300" w:type="pct"/>
            <w:shd w:val="clear" w:color="auto" w:fill="auto"/>
            <w:vAlign w:val="center"/>
          </w:tcPr>
          <w:p w14:paraId="6D4CFD9D"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72" w:type="pct"/>
            <w:shd w:val="clear" w:color="auto" w:fill="auto"/>
            <w:vAlign w:val="center"/>
          </w:tcPr>
          <w:p w14:paraId="3DAA52CB"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14" w:type="pct"/>
            <w:shd w:val="clear" w:color="auto" w:fill="auto"/>
            <w:vAlign w:val="center"/>
          </w:tcPr>
          <w:p w14:paraId="4A36F8CE" w14:textId="77777777" w:rsidR="00043193" w:rsidRPr="00E4462A" w:rsidRDefault="00043193" w:rsidP="0099033B">
            <w:pPr>
              <w:spacing w:before="20" w:afterLines="20" w:after="48" w:line="220" w:lineRule="exact"/>
              <w:jc w:val="center"/>
              <w:rPr>
                <w:sz w:val="18"/>
                <w:szCs w:val="18"/>
              </w:rPr>
            </w:pPr>
            <w:r w:rsidRPr="00E4462A">
              <w:rPr>
                <w:sz w:val="18"/>
                <w:szCs w:val="18"/>
              </w:rPr>
              <w:t>EM</w:t>
            </w:r>
          </w:p>
        </w:tc>
        <w:tc>
          <w:tcPr>
            <w:tcW w:w="284" w:type="pct"/>
            <w:shd w:val="clear" w:color="auto" w:fill="auto"/>
            <w:vAlign w:val="center"/>
          </w:tcPr>
          <w:p w14:paraId="39F3E67B"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284" w:type="pct"/>
            <w:shd w:val="clear" w:color="auto" w:fill="auto"/>
            <w:vAlign w:val="center"/>
          </w:tcPr>
          <w:p w14:paraId="5CDDC8E2" w14:textId="77777777" w:rsidR="00043193" w:rsidRPr="00E4462A" w:rsidRDefault="00043193" w:rsidP="0099033B">
            <w:pPr>
              <w:spacing w:before="20" w:afterLines="20" w:after="48" w:line="220" w:lineRule="exact"/>
              <w:jc w:val="center"/>
              <w:rPr>
                <w:sz w:val="18"/>
                <w:szCs w:val="18"/>
              </w:rPr>
            </w:pPr>
            <w:r w:rsidRPr="00E4462A">
              <w:rPr>
                <w:sz w:val="18"/>
                <w:szCs w:val="18"/>
              </w:rPr>
              <w:t>35</w:t>
            </w:r>
          </w:p>
        </w:tc>
        <w:tc>
          <w:tcPr>
            <w:tcW w:w="453" w:type="pct"/>
            <w:vAlign w:val="center"/>
          </w:tcPr>
          <w:p w14:paraId="43707BE4" w14:textId="77777777" w:rsidR="00043193" w:rsidRPr="00E4462A" w:rsidRDefault="00043193" w:rsidP="0099033B">
            <w:pPr>
              <w:spacing w:before="20" w:afterLines="20" w:after="48" w:line="220" w:lineRule="exact"/>
              <w:jc w:val="center"/>
              <w:rPr>
                <w:sz w:val="18"/>
                <w:szCs w:val="18"/>
              </w:rPr>
            </w:pPr>
            <w:r w:rsidRPr="00E4462A">
              <w:rPr>
                <w:sz w:val="18"/>
                <w:szCs w:val="18"/>
              </w:rPr>
              <w:t>OKA-L</w:t>
            </w:r>
          </w:p>
          <w:p w14:paraId="4D4DA1FC" w14:textId="77777777" w:rsidR="00043193" w:rsidRPr="00E4462A" w:rsidRDefault="00043193" w:rsidP="0099033B">
            <w:pPr>
              <w:spacing w:before="20" w:afterLines="20" w:after="48" w:line="220" w:lineRule="exact"/>
              <w:jc w:val="center"/>
              <w:rPr>
                <w:sz w:val="18"/>
                <w:szCs w:val="18"/>
              </w:rPr>
            </w:pPr>
            <w:r w:rsidRPr="00E4462A">
              <w:rPr>
                <w:sz w:val="18"/>
                <w:szCs w:val="18"/>
              </w:rPr>
              <w:t>4.7 mg</w:t>
            </w:r>
          </w:p>
        </w:tc>
      </w:tr>
      <w:tr w:rsidR="00D64375" w:rsidRPr="00E4462A" w14:paraId="66E9186F" w14:textId="77777777" w:rsidTr="002B3CE9">
        <w:tc>
          <w:tcPr>
            <w:tcW w:w="868" w:type="pct"/>
            <w:tcBorders>
              <w:bottom w:val="single" w:sz="4" w:space="0" w:color="auto"/>
            </w:tcBorders>
            <w:shd w:val="clear" w:color="auto" w:fill="auto"/>
            <w:vAlign w:val="center"/>
          </w:tcPr>
          <w:p w14:paraId="20273EF1"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13</w:t>
            </w:r>
            <w:r w:rsidRPr="00E4462A">
              <w:rPr>
                <w:sz w:val="18"/>
                <w:szCs w:val="18"/>
              </w:rPr>
              <w:t>C NMR</w:t>
            </w:r>
          </w:p>
        </w:tc>
        <w:tc>
          <w:tcPr>
            <w:tcW w:w="535" w:type="pct"/>
            <w:tcBorders>
              <w:bottom w:val="single" w:sz="4" w:space="0" w:color="auto"/>
            </w:tcBorders>
            <w:shd w:val="clear" w:color="auto" w:fill="auto"/>
            <w:vAlign w:val="center"/>
          </w:tcPr>
          <w:p w14:paraId="1CA66617" w14:textId="77777777" w:rsidR="00043193" w:rsidRPr="00E4462A" w:rsidRDefault="00043193" w:rsidP="0099033B">
            <w:pPr>
              <w:spacing w:before="20" w:afterLines="20" w:after="48" w:line="220" w:lineRule="exact"/>
              <w:jc w:val="center"/>
              <w:rPr>
                <w:sz w:val="18"/>
                <w:szCs w:val="18"/>
              </w:rPr>
            </w:pPr>
            <w:r w:rsidRPr="00E4462A">
              <w:rPr>
                <w:sz w:val="18"/>
                <w:szCs w:val="18"/>
              </w:rPr>
              <w:t>S3</w:t>
            </w:r>
          </w:p>
        </w:tc>
        <w:tc>
          <w:tcPr>
            <w:tcW w:w="396" w:type="pct"/>
            <w:tcBorders>
              <w:bottom w:val="single" w:sz="4" w:space="0" w:color="auto"/>
            </w:tcBorders>
            <w:shd w:val="clear" w:color="auto" w:fill="auto"/>
            <w:vAlign w:val="center"/>
          </w:tcPr>
          <w:p w14:paraId="36A73F39" w14:textId="77777777" w:rsidR="00043193" w:rsidRPr="00E4462A" w:rsidRDefault="00043193" w:rsidP="0099033B">
            <w:pPr>
              <w:spacing w:before="20" w:afterLines="20" w:after="48" w:line="220" w:lineRule="exact"/>
              <w:jc w:val="center"/>
              <w:rPr>
                <w:sz w:val="18"/>
                <w:szCs w:val="18"/>
              </w:rPr>
            </w:pPr>
            <w:r w:rsidRPr="00E4462A">
              <w:rPr>
                <w:sz w:val="18"/>
                <w:szCs w:val="18"/>
              </w:rPr>
              <w:t>5D</w:t>
            </w:r>
          </w:p>
        </w:tc>
        <w:tc>
          <w:tcPr>
            <w:tcW w:w="347" w:type="pct"/>
            <w:tcBorders>
              <w:bottom w:val="single" w:sz="4" w:space="0" w:color="auto"/>
            </w:tcBorders>
            <w:shd w:val="clear" w:color="auto" w:fill="auto"/>
            <w:vAlign w:val="center"/>
          </w:tcPr>
          <w:p w14:paraId="49313065" w14:textId="77777777" w:rsidR="00043193" w:rsidRPr="00E4462A" w:rsidRDefault="00043193" w:rsidP="0099033B">
            <w:pPr>
              <w:spacing w:before="20" w:afterLines="20" w:after="48" w:line="220" w:lineRule="exact"/>
              <w:jc w:val="center"/>
              <w:rPr>
                <w:sz w:val="18"/>
                <w:szCs w:val="18"/>
              </w:rPr>
            </w:pPr>
            <w:r w:rsidRPr="00E4462A">
              <w:rPr>
                <w:sz w:val="18"/>
                <w:szCs w:val="18"/>
              </w:rPr>
              <w:t>44224</w:t>
            </w:r>
          </w:p>
        </w:tc>
        <w:tc>
          <w:tcPr>
            <w:tcW w:w="300" w:type="pct"/>
            <w:tcBorders>
              <w:bottom w:val="single" w:sz="4" w:space="0" w:color="auto"/>
            </w:tcBorders>
            <w:shd w:val="clear" w:color="auto" w:fill="auto"/>
            <w:vAlign w:val="center"/>
          </w:tcPr>
          <w:p w14:paraId="7F1A5F7D" w14:textId="77777777" w:rsidR="00043193" w:rsidRPr="00E4462A" w:rsidRDefault="00043193" w:rsidP="0099033B">
            <w:pPr>
              <w:spacing w:before="20" w:afterLines="20" w:after="48" w:line="220" w:lineRule="exact"/>
              <w:jc w:val="center"/>
              <w:rPr>
                <w:sz w:val="18"/>
                <w:szCs w:val="18"/>
              </w:rPr>
            </w:pPr>
            <w:r w:rsidRPr="00E4462A">
              <w:rPr>
                <w:sz w:val="18"/>
                <w:szCs w:val="18"/>
              </w:rPr>
              <w:t>1000</w:t>
            </w:r>
          </w:p>
        </w:tc>
        <w:tc>
          <w:tcPr>
            <w:tcW w:w="347" w:type="pct"/>
            <w:tcBorders>
              <w:bottom w:val="single" w:sz="4" w:space="0" w:color="auto"/>
            </w:tcBorders>
            <w:shd w:val="clear" w:color="auto" w:fill="auto"/>
            <w:vAlign w:val="center"/>
          </w:tcPr>
          <w:p w14:paraId="31CE4595" w14:textId="77777777" w:rsidR="00043193" w:rsidRPr="00E4462A" w:rsidRDefault="00043193" w:rsidP="0099033B">
            <w:pPr>
              <w:spacing w:before="20" w:afterLines="20" w:after="48" w:line="220" w:lineRule="exact"/>
              <w:jc w:val="center"/>
              <w:rPr>
                <w:sz w:val="18"/>
                <w:szCs w:val="18"/>
              </w:rPr>
            </w:pPr>
            <w:r w:rsidRPr="00E4462A">
              <w:rPr>
                <w:sz w:val="18"/>
                <w:szCs w:val="18"/>
              </w:rPr>
              <w:t>14000</w:t>
            </w:r>
          </w:p>
        </w:tc>
        <w:tc>
          <w:tcPr>
            <w:tcW w:w="300" w:type="pct"/>
            <w:tcBorders>
              <w:bottom w:val="single" w:sz="4" w:space="0" w:color="auto"/>
            </w:tcBorders>
            <w:shd w:val="clear" w:color="auto" w:fill="auto"/>
            <w:vAlign w:val="center"/>
          </w:tcPr>
          <w:p w14:paraId="515032AE"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72" w:type="pct"/>
            <w:tcBorders>
              <w:bottom w:val="single" w:sz="4" w:space="0" w:color="auto"/>
            </w:tcBorders>
            <w:shd w:val="clear" w:color="auto" w:fill="auto"/>
            <w:vAlign w:val="center"/>
          </w:tcPr>
          <w:p w14:paraId="0CB516FA"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14" w:type="pct"/>
            <w:tcBorders>
              <w:bottom w:val="single" w:sz="4" w:space="0" w:color="auto"/>
            </w:tcBorders>
            <w:shd w:val="clear" w:color="auto" w:fill="auto"/>
            <w:vAlign w:val="center"/>
          </w:tcPr>
          <w:p w14:paraId="1A3F3F87" w14:textId="77777777" w:rsidR="00043193" w:rsidRPr="00E4462A" w:rsidRDefault="00043193" w:rsidP="0099033B">
            <w:pPr>
              <w:spacing w:before="20" w:afterLines="20" w:after="48" w:line="220" w:lineRule="exact"/>
              <w:jc w:val="center"/>
              <w:rPr>
                <w:sz w:val="18"/>
                <w:szCs w:val="18"/>
              </w:rPr>
            </w:pPr>
            <w:r w:rsidRPr="00E4462A">
              <w:rPr>
                <w:sz w:val="18"/>
                <w:szCs w:val="18"/>
              </w:rPr>
              <w:t>EM</w:t>
            </w:r>
          </w:p>
        </w:tc>
        <w:tc>
          <w:tcPr>
            <w:tcW w:w="284" w:type="pct"/>
            <w:tcBorders>
              <w:bottom w:val="single" w:sz="4" w:space="0" w:color="auto"/>
            </w:tcBorders>
            <w:shd w:val="clear" w:color="auto" w:fill="auto"/>
            <w:vAlign w:val="center"/>
          </w:tcPr>
          <w:p w14:paraId="0774D532"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284" w:type="pct"/>
            <w:tcBorders>
              <w:bottom w:val="single" w:sz="4" w:space="0" w:color="auto"/>
            </w:tcBorders>
            <w:shd w:val="clear" w:color="auto" w:fill="auto"/>
            <w:vAlign w:val="center"/>
          </w:tcPr>
          <w:p w14:paraId="282386A7" w14:textId="77777777" w:rsidR="00043193" w:rsidRPr="00E4462A" w:rsidRDefault="00043193" w:rsidP="0099033B">
            <w:pPr>
              <w:spacing w:before="20" w:afterLines="20" w:after="48" w:line="220" w:lineRule="exact"/>
              <w:jc w:val="center"/>
              <w:rPr>
                <w:sz w:val="18"/>
                <w:szCs w:val="18"/>
              </w:rPr>
            </w:pPr>
            <w:r w:rsidRPr="00E4462A">
              <w:rPr>
                <w:sz w:val="18"/>
                <w:szCs w:val="18"/>
              </w:rPr>
              <w:t>35</w:t>
            </w:r>
          </w:p>
        </w:tc>
        <w:tc>
          <w:tcPr>
            <w:tcW w:w="453" w:type="pct"/>
            <w:tcBorders>
              <w:bottom w:val="single" w:sz="4" w:space="0" w:color="auto"/>
            </w:tcBorders>
            <w:vAlign w:val="center"/>
          </w:tcPr>
          <w:p w14:paraId="75F183F0" w14:textId="77777777" w:rsidR="00043193" w:rsidRPr="00E4462A" w:rsidRDefault="00043193" w:rsidP="0099033B">
            <w:pPr>
              <w:spacing w:before="20" w:afterLines="20" w:after="48" w:line="220" w:lineRule="exact"/>
              <w:jc w:val="center"/>
              <w:rPr>
                <w:sz w:val="18"/>
                <w:szCs w:val="18"/>
              </w:rPr>
            </w:pPr>
            <w:r w:rsidRPr="00E4462A">
              <w:rPr>
                <w:sz w:val="18"/>
                <w:szCs w:val="18"/>
              </w:rPr>
              <w:t>PAN-S</w:t>
            </w:r>
          </w:p>
          <w:p w14:paraId="4D5F9522" w14:textId="77777777" w:rsidR="00043193" w:rsidRPr="00E4462A" w:rsidRDefault="00043193" w:rsidP="0099033B">
            <w:pPr>
              <w:spacing w:before="20" w:afterLines="20" w:after="48" w:line="220" w:lineRule="exact"/>
              <w:jc w:val="center"/>
              <w:rPr>
                <w:sz w:val="18"/>
                <w:szCs w:val="18"/>
              </w:rPr>
            </w:pPr>
            <w:r w:rsidRPr="00E4462A">
              <w:rPr>
                <w:sz w:val="18"/>
                <w:szCs w:val="18"/>
              </w:rPr>
              <w:t>4.2 mg</w:t>
            </w:r>
          </w:p>
        </w:tc>
      </w:tr>
      <w:tr w:rsidR="00D64375" w:rsidRPr="00E4462A" w14:paraId="1786F0F9" w14:textId="77777777" w:rsidTr="002B3CE9">
        <w:tc>
          <w:tcPr>
            <w:tcW w:w="868" w:type="pct"/>
            <w:shd w:val="clear" w:color="auto" w:fill="auto"/>
            <w:vAlign w:val="center"/>
          </w:tcPr>
          <w:p w14:paraId="175B476C"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13</w:t>
            </w:r>
            <w:r w:rsidRPr="00E4462A">
              <w:rPr>
                <w:sz w:val="18"/>
                <w:szCs w:val="18"/>
              </w:rPr>
              <w:t>C NMR</w:t>
            </w:r>
          </w:p>
        </w:tc>
        <w:tc>
          <w:tcPr>
            <w:tcW w:w="535" w:type="pct"/>
            <w:shd w:val="clear" w:color="auto" w:fill="auto"/>
            <w:vAlign w:val="center"/>
          </w:tcPr>
          <w:p w14:paraId="23CFBFB2" w14:textId="77777777" w:rsidR="00043193" w:rsidRPr="00E4462A" w:rsidRDefault="00043193" w:rsidP="0099033B">
            <w:pPr>
              <w:spacing w:before="20" w:afterLines="20" w:after="48" w:line="220" w:lineRule="exact"/>
              <w:jc w:val="center"/>
              <w:rPr>
                <w:sz w:val="18"/>
                <w:szCs w:val="18"/>
              </w:rPr>
            </w:pPr>
            <w:r w:rsidRPr="00E4462A">
              <w:rPr>
                <w:sz w:val="18"/>
                <w:szCs w:val="18"/>
              </w:rPr>
              <w:t>S3</w:t>
            </w:r>
          </w:p>
        </w:tc>
        <w:tc>
          <w:tcPr>
            <w:tcW w:w="396" w:type="pct"/>
            <w:shd w:val="clear" w:color="auto" w:fill="auto"/>
            <w:vAlign w:val="center"/>
          </w:tcPr>
          <w:p w14:paraId="73F9D1BF" w14:textId="77777777" w:rsidR="00043193" w:rsidRPr="00E4462A" w:rsidRDefault="00043193" w:rsidP="0099033B">
            <w:pPr>
              <w:spacing w:before="20" w:afterLines="20" w:after="48" w:line="220" w:lineRule="exact"/>
              <w:jc w:val="center"/>
              <w:rPr>
                <w:sz w:val="18"/>
                <w:szCs w:val="18"/>
              </w:rPr>
            </w:pPr>
            <w:r w:rsidRPr="00E4462A">
              <w:rPr>
                <w:sz w:val="18"/>
                <w:szCs w:val="18"/>
              </w:rPr>
              <w:t>8QCO</w:t>
            </w:r>
          </w:p>
        </w:tc>
        <w:tc>
          <w:tcPr>
            <w:tcW w:w="347" w:type="pct"/>
            <w:shd w:val="clear" w:color="auto" w:fill="auto"/>
            <w:vAlign w:val="center"/>
          </w:tcPr>
          <w:p w14:paraId="51F09488" w14:textId="77777777" w:rsidR="00043193" w:rsidRPr="00E4462A" w:rsidRDefault="00043193" w:rsidP="0099033B">
            <w:pPr>
              <w:spacing w:before="20" w:afterLines="20" w:after="48" w:line="220" w:lineRule="exact"/>
              <w:jc w:val="center"/>
              <w:rPr>
                <w:sz w:val="18"/>
                <w:szCs w:val="18"/>
              </w:rPr>
            </w:pPr>
            <w:r w:rsidRPr="00E4462A">
              <w:rPr>
                <w:sz w:val="18"/>
                <w:szCs w:val="18"/>
              </w:rPr>
              <w:t>23420</w:t>
            </w:r>
          </w:p>
        </w:tc>
        <w:tc>
          <w:tcPr>
            <w:tcW w:w="300" w:type="pct"/>
            <w:shd w:val="clear" w:color="auto" w:fill="auto"/>
            <w:vAlign w:val="center"/>
          </w:tcPr>
          <w:p w14:paraId="157F00E6" w14:textId="77777777" w:rsidR="00043193" w:rsidRPr="00E4462A" w:rsidRDefault="00043193" w:rsidP="0099033B">
            <w:pPr>
              <w:spacing w:before="20" w:afterLines="20" w:after="48" w:line="220" w:lineRule="exact"/>
              <w:jc w:val="center"/>
              <w:rPr>
                <w:sz w:val="18"/>
                <w:szCs w:val="18"/>
              </w:rPr>
            </w:pPr>
            <w:r w:rsidRPr="00E4462A">
              <w:rPr>
                <w:sz w:val="18"/>
                <w:szCs w:val="18"/>
              </w:rPr>
              <w:t>1000</w:t>
            </w:r>
          </w:p>
        </w:tc>
        <w:tc>
          <w:tcPr>
            <w:tcW w:w="347" w:type="pct"/>
            <w:shd w:val="clear" w:color="auto" w:fill="auto"/>
            <w:vAlign w:val="center"/>
          </w:tcPr>
          <w:p w14:paraId="445222B7" w14:textId="77777777" w:rsidR="00043193" w:rsidRPr="00E4462A" w:rsidRDefault="00043193" w:rsidP="0099033B">
            <w:pPr>
              <w:spacing w:before="20" w:afterLines="20" w:after="48" w:line="220" w:lineRule="exact"/>
              <w:jc w:val="center"/>
              <w:rPr>
                <w:sz w:val="18"/>
                <w:szCs w:val="18"/>
              </w:rPr>
            </w:pPr>
            <w:r w:rsidRPr="00E4462A">
              <w:rPr>
                <w:sz w:val="18"/>
                <w:szCs w:val="18"/>
              </w:rPr>
              <w:t>19000</w:t>
            </w:r>
          </w:p>
        </w:tc>
        <w:tc>
          <w:tcPr>
            <w:tcW w:w="300" w:type="pct"/>
            <w:shd w:val="clear" w:color="auto" w:fill="auto"/>
            <w:vAlign w:val="center"/>
          </w:tcPr>
          <w:p w14:paraId="1E0A91F0"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72" w:type="pct"/>
            <w:shd w:val="clear" w:color="auto" w:fill="auto"/>
            <w:vAlign w:val="center"/>
          </w:tcPr>
          <w:p w14:paraId="168D544B"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14" w:type="pct"/>
            <w:shd w:val="clear" w:color="auto" w:fill="auto"/>
            <w:vAlign w:val="center"/>
          </w:tcPr>
          <w:p w14:paraId="46E78C40" w14:textId="77777777" w:rsidR="00043193" w:rsidRPr="00E4462A" w:rsidRDefault="00043193" w:rsidP="0099033B">
            <w:pPr>
              <w:spacing w:before="20" w:afterLines="20" w:after="48" w:line="220" w:lineRule="exact"/>
              <w:jc w:val="center"/>
              <w:rPr>
                <w:sz w:val="18"/>
                <w:szCs w:val="18"/>
              </w:rPr>
            </w:pPr>
            <w:r w:rsidRPr="00E4462A">
              <w:rPr>
                <w:sz w:val="18"/>
                <w:szCs w:val="18"/>
              </w:rPr>
              <w:t>EM</w:t>
            </w:r>
          </w:p>
        </w:tc>
        <w:tc>
          <w:tcPr>
            <w:tcW w:w="284" w:type="pct"/>
            <w:shd w:val="clear" w:color="auto" w:fill="auto"/>
            <w:vAlign w:val="center"/>
          </w:tcPr>
          <w:p w14:paraId="3BFC4645"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284" w:type="pct"/>
            <w:shd w:val="clear" w:color="auto" w:fill="auto"/>
            <w:vAlign w:val="center"/>
          </w:tcPr>
          <w:p w14:paraId="5820A8CB" w14:textId="77777777" w:rsidR="00043193" w:rsidRPr="00E4462A" w:rsidRDefault="00043193" w:rsidP="0099033B">
            <w:pPr>
              <w:spacing w:before="20" w:afterLines="20" w:after="48" w:line="220" w:lineRule="exact"/>
              <w:jc w:val="center"/>
              <w:rPr>
                <w:sz w:val="18"/>
                <w:szCs w:val="18"/>
              </w:rPr>
            </w:pPr>
            <w:r w:rsidRPr="00E4462A">
              <w:rPr>
                <w:sz w:val="18"/>
                <w:szCs w:val="18"/>
              </w:rPr>
              <w:t>35</w:t>
            </w:r>
          </w:p>
        </w:tc>
        <w:tc>
          <w:tcPr>
            <w:tcW w:w="453" w:type="pct"/>
            <w:vAlign w:val="center"/>
          </w:tcPr>
          <w:p w14:paraId="77F86AE1" w14:textId="77777777" w:rsidR="00043193" w:rsidRPr="00E4462A" w:rsidRDefault="00043193" w:rsidP="0099033B">
            <w:pPr>
              <w:spacing w:before="20" w:afterLines="20" w:after="48" w:line="220" w:lineRule="exact"/>
              <w:jc w:val="center"/>
              <w:rPr>
                <w:sz w:val="18"/>
                <w:szCs w:val="18"/>
              </w:rPr>
            </w:pPr>
            <w:r w:rsidRPr="00E4462A">
              <w:rPr>
                <w:sz w:val="18"/>
                <w:szCs w:val="18"/>
              </w:rPr>
              <w:t>FCE-L</w:t>
            </w:r>
          </w:p>
          <w:p w14:paraId="1029329A" w14:textId="77777777" w:rsidR="00043193" w:rsidRPr="00E4462A" w:rsidRDefault="00043193" w:rsidP="0099033B">
            <w:pPr>
              <w:spacing w:before="20" w:afterLines="20" w:after="48" w:line="220" w:lineRule="exact"/>
              <w:jc w:val="center"/>
              <w:rPr>
                <w:sz w:val="18"/>
                <w:szCs w:val="18"/>
              </w:rPr>
            </w:pPr>
            <w:r w:rsidRPr="00E4462A">
              <w:rPr>
                <w:sz w:val="18"/>
                <w:szCs w:val="18"/>
              </w:rPr>
              <w:t>9.5 mg</w:t>
            </w:r>
          </w:p>
        </w:tc>
      </w:tr>
      <w:tr w:rsidR="00D64375" w:rsidRPr="00E4462A" w14:paraId="317D9903" w14:textId="77777777" w:rsidTr="002B3CE9">
        <w:tc>
          <w:tcPr>
            <w:tcW w:w="868" w:type="pct"/>
            <w:shd w:val="clear" w:color="auto" w:fill="auto"/>
            <w:vAlign w:val="center"/>
          </w:tcPr>
          <w:p w14:paraId="2ED74EAF"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13</w:t>
            </w:r>
            <w:r w:rsidRPr="00E4462A">
              <w:rPr>
                <w:sz w:val="18"/>
                <w:szCs w:val="18"/>
              </w:rPr>
              <w:t>C NMR</w:t>
            </w:r>
          </w:p>
        </w:tc>
        <w:tc>
          <w:tcPr>
            <w:tcW w:w="535" w:type="pct"/>
            <w:shd w:val="clear" w:color="auto" w:fill="auto"/>
            <w:vAlign w:val="center"/>
          </w:tcPr>
          <w:p w14:paraId="14F25B54" w14:textId="77777777" w:rsidR="00043193" w:rsidRPr="00E4462A" w:rsidRDefault="00043193" w:rsidP="0099033B">
            <w:pPr>
              <w:spacing w:before="20" w:afterLines="20" w:after="48" w:line="220" w:lineRule="exact"/>
              <w:jc w:val="center"/>
              <w:rPr>
                <w:sz w:val="18"/>
                <w:szCs w:val="18"/>
              </w:rPr>
            </w:pPr>
            <w:r w:rsidRPr="00E4462A">
              <w:rPr>
                <w:sz w:val="18"/>
                <w:szCs w:val="18"/>
              </w:rPr>
              <w:t>S3</w:t>
            </w:r>
          </w:p>
        </w:tc>
        <w:tc>
          <w:tcPr>
            <w:tcW w:w="396" w:type="pct"/>
            <w:shd w:val="clear" w:color="auto" w:fill="auto"/>
            <w:vAlign w:val="center"/>
          </w:tcPr>
          <w:p w14:paraId="30A6717F" w14:textId="77777777" w:rsidR="00043193" w:rsidRPr="00E4462A" w:rsidRDefault="00043193" w:rsidP="0099033B">
            <w:pPr>
              <w:spacing w:before="20" w:afterLines="20" w:after="48" w:line="220" w:lineRule="exact"/>
              <w:jc w:val="center"/>
              <w:rPr>
                <w:sz w:val="18"/>
                <w:szCs w:val="18"/>
              </w:rPr>
            </w:pPr>
            <w:r w:rsidRPr="00E4462A">
              <w:rPr>
                <w:sz w:val="18"/>
                <w:szCs w:val="18"/>
              </w:rPr>
              <w:t>8QCO</w:t>
            </w:r>
          </w:p>
        </w:tc>
        <w:tc>
          <w:tcPr>
            <w:tcW w:w="347" w:type="pct"/>
            <w:shd w:val="clear" w:color="auto" w:fill="auto"/>
            <w:vAlign w:val="center"/>
          </w:tcPr>
          <w:p w14:paraId="7C5CCFA7" w14:textId="2ECD4062" w:rsidR="00043193" w:rsidRPr="00E4462A" w:rsidRDefault="00F56627" w:rsidP="0099033B">
            <w:pPr>
              <w:spacing w:before="20" w:afterLines="20" w:after="48" w:line="220" w:lineRule="exact"/>
              <w:jc w:val="center"/>
              <w:rPr>
                <w:sz w:val="18"/>
                <w:szCs w:val="18"/>
              </w:rPr>
            </w:pPr>
            <w:r w:rsidRPr="00E4462A">
              <w:rPr>
                <w:sz w:val="18"/>
                <w:szCs w:val="18"/>
              </w:rPr>
              <w:t xml:space="preserve">  </w:t>
            </w:r>
            <w:r w:rsidR="00043193" w:rsidRPr="00E4462A">
              <w:rPr>
                <w:sz w:val="18"/>
                <w:szCs w:val="18"/>
              </w:rPr>
              <w:t>3728</w:t>
            </w:r>
          </w:p>
        </w:tc>
        <w:tc>
          <w:tcPr>
            <w:tcW w:w="300" w:type="pct"/>
            <w:shd w:val="clear" w:color="auto" w:fill="auto"/>
            <w:vAlign w:val="center"/>
          </w:tcPr>
          <w:p w14:paraId="0F97348E" w14:textId="77777777" w:rsidR="00043193" w:rsidRPr="00E4462A" w:rsidRDefault="00043193" w:rsidP="0099033B">
            <w:pPr>
              <w:spacing w:before="20" w:afterLines="20" w:after="48" w:line="220" w:lineRule="exact"/>
              <w:jc w:val="center"/>
              <w:rPr>
                <w:sz w:val="18"/>
                <w:szCs w:val="18"/>
              </w:rPr>
            </w:pPr>
            <w:r w:rsidRPr="00E4462A">
              <w:rPr>
                <w:sz w:val="18"/>
                <w:szCs w:val="18"/>
              </w:rPr>
              <w:t>1000</w:t>
            </w:r>
          </w:p>
        </w:tc>
        <w:tc>
          <w:tcPr>
            <w:tcW w:w="347" w:type="pct"/>
            <w:shd w:val="clear" w:color="auto" w:fill="auto"/>
            <w:vAlign w:val="center"/>
          </w:tcPr>
          <w:p w14:paraId="36C7DADE" w14:textId="77777777" w:rsidR="00043193" w:rsidRPr="00E4462A" w:rsidRDefault="00043193" w:rsidP="0099033B">
            <w:pPr>
              <w:spacing w:before="20" w:afterLines="20" w:after="48" w:line="220" w:lineRule="exact"/>
              <w:jc w:val="center"/>
              <w:rPr>
                <w:sz w:val="18"/>
                <w:szCs w:val="18"/>
              </w:rPr>
            </w:pPr>
            <w:r w:rsidRPr="00E4462A">
              <w:rPr>
                <w:sz w:val="18"/>
                <w:szCs w:val="18"/>
              </w:rPr>
              <w:t>19000</w:t>
            </w:r>
          </w:p>
        </w:tc>
        <w:tc>
          <w:tcPr>
            <w:tcW w:w="300" w:type="pct"/>
            <w:shd w:val="clear" w:color="auto" w:fill="auto"/>
            <w:vAlign w:val="center"/>
          </w:tcPr>
          <w:p w14:paraId="2C2441BA"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72" w:type="pct"/>
            <w:shd w:val="clear" w:color="auto" w:fill="auto"/>
            <w:vAlign w:val="center"/>
          </w:tcPr>
          <w:p w14:paraId="05FA5690"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414" w:type="pct"/>
            <w:shd w:val="clear" w:color="auto" w:fill="auto"/>
            <w:vAlign w:val="center"/>
          </w:tcPr>
          <w:p w14:paraId="6FD78B8E" w14:textId="77777777" w:rsidR="00043193" w:rsidRPr="00E4462A" w:rsidRDefault="00043193" w:rsidP="0099033B">
            <w:pPr>
              <w:spacing w:before="20" w:afterLines="20" w:after="48" w:line="220" w:lineRule="exact"/>
              <w:jc w:val="center"/>
              <w:rPr>
                <w:sz w:val="18"/>
                <w:szCs w:val="18"/>
              </w:rPr>
            </w:pPr>
            <w:r w:rsidRPr="00E4462A">
              <w:rPr>
                <w:sz w:val="18"/>
                <w:szCs w:val="18"/>
              </w:rPr>
              <w:t>EM</w:t>
            </w:r>
          </w:p>
        </w:tc>
        <w:tc>
          <w:tcPr>
            <w:tcW w:w="284" w:type="pct"/>
            <w:shd w:val="clear" w:color="auto" w:fill="auto"/>
            <w:vAlign w:val="center"/>
          </w:tcPr>
          <w:p w14:paraId="3B11BE19" w14:textId="77777777" w:rsidR="00043193" w:rsidRPr="00E4462A" w:rsidRDefault="00043193" w:rsidP="0099033B">
            <w:pPr>
              <w:spacing w:before="20" w:afterLines="20" w:after="48" w:line="220" w:lineRule="exact"/>
              <w:jc w:val="center"/>
              <w:rPr>
                <w:sz w:val="18"/>
                <w:szCs w:val="18"/>
              </w:rPr>
            </w:pPr>
            <w:r w:rsidRPr="00E4462A">
              <w:rPr>
                <w:sz w:val="18"/>
                <w:szCs w:val="18"/>
              </w:rPr>
              <w:t>-</w:t>
            </w:r>
          </w:p>
        </w:tc>
        <w:tc>
          <w:tcPr>
            <w:tcW w:w="284" w:type="pct"/>
            <w:shd w:val="clear" w:color="auto" w:fill="auto"/>
            <w:vAlign w:val="center"/>
          </w:tcPr>
          <w:p w14:paraId="32B69422" w14:textId="77777777" w:rsidR="00043193" w:rsidRPr="00E4462A" w:rsidRDefault="00043193" w:rsidP="0099033B">
            <w:pPr>
              <w:spacing w:before="20" w:afterLines="20" w:after="48" w:line="220" w:lineRule="exact"/>
              <w:jc w:val="center"/>
              <w:rPr>
                <w:sz w:val="18"/>
                <w:szCs w:val="18"/>
              </w:rPr>
            </w:pPr>
            <w:r w:rsidRPr="00E4462A">
              <w:rPr>
                <w:sz w:val="18"/>
                <w:szCs w:val="18"/>
              </w:rPr>
              <w:t>35</w:t>
            </w:r>
          </w:p>
        </w:tc>
        <w:tc>
          <w:tcPr>
            <w:tcW w:w="453" w:type="pct"/>
            <w:vAlign w:val="center"/>
          </w:tcPr>
          <w:p w14:paraId="215DA808" w14:textId="77777777" w:rsidR="00043193" w:rsidRPr="00E4462A" w:rsidRDefault="00043193" w:rsidP="0099033B">
            <w:pPr>
              <w:spacing w:before="20" w:afterLines="20" w:after="48" w:line="220" w:lineRule="exact"/>
              <w:jc w:val="center"/>
              <w:rPr>
                <w:sz w:val="18"/>
                <w:szCs w:val="18"/>
              </w:rPr>
            </w:pPr>
            <w:r w:rsidRPr="00E4462A">
              <w:rPr>
                <w:sz w:val="18"/>
                <w:szCs w:val="18"/>
              </w:rPr>
              <w:t>FCE-S</w:t>
            </w:r>
          </w:p>
          <w:p w14:paraId="2103FFEB" w14:textId="77777777" w:rsidR="00043193" w:rsidRPr="00E4462A" w:rsidRDefault="00043193" w:rsidP="0099033B">
            <w:pPr>
              <w:spacing w:before="20" w:afterLines="20" w:after="48" w:line="220" w:lineRule="exact"/>
              <w:jc w:val="center"/>
              <w:rPr>
                <w:sz w:val="18"/>
                <w:szCs w:val="18"/>
              </w:rPr>
            </w:pPr>
            <w:r w:rsidRPr="00E4462A">
              <w:rPr>
                <w:sz w:val="18"/>
                <w:szCs w:val="18"/>
              </w:rPr>
              <w:t>9.1 mg</w:t>
            </w:r>
          </w:p>
        </w:tc>
      </w:tr>
      <w:tr w:rsidR="00D64375" w:rsidRPr="00E4462A" w14:paraId="7804C6EC" w14:textId="77777777" w:rsidTr="002B3CE9">
        <w:tc>
          <w:tcPr>
            <w:tcW w:w="868" w:type="pct"/>
            <w:shd w:val="clear" w:color="auto" w:fill="auto"/>
            <w:vAlign w:val="center"/>
          </w:tcPr>
          <w:p w14:paraId="3A63DC3C"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w:t>
            </w:r>
            <w:r w:rsidRPr="00E4462A">
              <w:rPr>
                <w:sz w:val="18"/>
                <w:szCs w:val="18"/>
              </w:rPr>
              <w:t xml:space="preserve">H, </w:t>
            </w:r>
            <w:r w:rsidRPr="00E4462A">
              <w:rPr>
                <w:sz w:val="18"/>
                <w:szCs w:val="18"/>
                <w:vertAlign w:val="superscript"/>
              </w:rPr>
              <w:t>1</w:t>
            </w:r>
            <w:r w:rsidRPr="00E4462A">
              <w:rPr>
                <w:sz w:val="18"/>
                <w:szCs w:val="18"/>
              </w:rPr>
              <w:t>H TOCSY</w:t>
            </w:r>
          </w:p>
        </w:tc>
        <w:tc>
          <w:tcPr>
            <w:tcW w:w="535" w:type="pct"/>
            <w:shd w:val="clear" w:color="auto" w:fill="auto"/>
            <w:vAlign w:val="center"/>
          </w:tcPr>
          <w:p w14:paraId="2404C2F7" w14:textId="69CA5BD0" w:rsidR="00043193" w:rsidRPr="00E4462A" w:rsidRDefault="00F56627" w:rsidP="0099033B">
            <w:pPr>
              <w:spacing w:before="20" w:afterLines="20" w:after="48" w:line="220" w:lineRule="exact"/>
              <w:jc w:val="center"/>
              <w:rPr>
                <w:sz w:val="18"/>
                <w:szCs w:val="18"/>
              </w:rPr>
            </w:pPr>
            <w:r w:rsidRPr="00E4462A">
              <w:rPr>
                <w:sz w:val="18"/>
                <w:szCs w:val="18"/>
              </w:rPr>
              <w:t>3</w:t>
            </w:r>
          </w:p>
        </w:tc>
        <w:tc>
          <w:tcPr>
            <w:tcW w:w="396" w:type="pct"/>
            <w:shd w:val="clear" w:color="auto" w:fill="auto"/>
            <w:vAlign w:val="center"/>
          </w:tcPr>
          <w:p w14:paraId="65B8370C" w14:textId="77777777" w:rsidR="00043193" w:rsidRPr="00E4462A" w:rsidRDefault="00043193" w:rsidP="0099033B">
            <w:pPr>
              <w:spacing w:before="20" w:afterLines="20" w:after="48" w:line="220" w:lineRule="exact"/>
              <w:jc w:val="center"/>
              <w:rPr>
                <w:sz w:val="18"/>
                <w:szCs w:val="18"/>
              </w:rPr>
            </w:pPr>
            <w:r w:rsidRPr="00E4462A">
              <w:rPr>
                <w:sz w:val="18"/>
                <w:szCs w:val="18"/>
              </w:rPr>
              <w:t>5TXI</w:t>
            </w:r>
          </w:p>
        </w:tc>
        <w:tc>
          <w:tcPr>
            <w:tcW w:w="347" w:type="pct"/>
            <w:shd w:val="clear" w:color="auto" w:fill="auto"/>
            <w:vAlign w:val="center"/>
          </w:tcPr>
          <w:p w14:paraId="6724C5D6" w14:textId="6C4D214A" w:rsidR="00043193" w:rsidRPr="00E4462A" w:rsidRDefault="00F56627" w:rsidP="0099033B">
            <w:pPr>
              <w:spacing w:before="20" w:afterLines="20" w:after="48" w:line="220" w:lineRule="exact"/>
              <w:jc w:val="center"/>
              <w:rPr>
                <w:sz w:val="18"/>
                <w:szCs w:val="18"/>
              </w:rPr>
            </w:pPr>
            <w:r w:rsidRPr="00E4462A">
              <w:rPr>
                <w:sz w:val="18"/>
                <w:szCs w:val="18"/>
              </w:rPr>
              <w:t xml:space="preserve">      </w:t>
            </w:r>
            <w:r w:rsidR="00043193" w:rsidRPr="00E4462A">
              <w:rPr>
                <w:sz w:val="18"/>
                <w:szCs w:val="18"/>
              </w:rPr>
              <w:t>24</w:t>
            </w:r>
          </w:p>
        </w:tc>
        <w:tc>
          <w:tcPr>
            <w:tcW w:w="300" w:type="pct"/>
            <w:shd w:val="clear" w:color="auto" w:fill="auto"/>
            <w:vAlign w:val="center"/>
          </w:tcPr>
          <w:p w14:paraId="08C693F6" w14:textId="77777777" w:rsidR="00043193" w:rsidRPr="00E4462A" w:rsidRDefault="00043193" w:rsidP="0099033B">
            <w:pPr>
              <w:spacing w:before="20" w:afterLines="20" w:after="48" w:line="220" w:lineRule="exact"/>
              <w:jc w:val="center"/>
              <w:rPr>
                <w:sz w:val="18"/>
                <w:szCs w:val="18"/>
              </w:rPr>
            </w:pPr>
            <w:r w:rsidRPr="00E4462A">
              <w:rPr>
                <w:sz w:val="18"/>
                <w:szCs w:val="18"/>
              </w:rPr>
              <w:t>1000</w:t>
            </w:r>
          </w:p>
        </w:tc>
        <w:tc>
          <w:tcPr>
            <w:tcW w:w="347" w:type="pct"/>
            <w:shd w:val="clear" w:color="auto" w:fill="auto"/>
            <w:vAlign w:val="center"/>
          </w:tcPr>
          <w:p w14:paraId="45270973" w14:textId="43E27197" w:rsidR="00043193" w:rsidRPr="00E4462A" w:rsidRDefault="00F56627" w:rsidP="0099033B">
            <w:pPr>
              <w:spacing w:before="20" w:afterLines="20" w:after="48" w:line="220" w:lineRule="exact"/>
              <w:jc w:val="center"/>
              <w:rPr>
                <w:sz w:val="18"/>
                <w:szCs w:val="18"/>
              </w:rPr>
            </w:pPr>
            <w:r w:rsidRPr="00E4462A">
              <w:rPr>
                <w:sz w:val="18"/>
                <w:szCs w:val="18"/>
              </w:rPr>
              <w:t xml:space="preserve">  </w:t>
            </w:r>
            <w:r w:rsidR="00043193" w:rsidRPr="00E4462A">
              <w:rPr>
                <w:sz w:val="18"/>
                <w:szCs w:val="18"/>
              </w:rPr>
              <w:t>2500</w:t>
            </w:r>
          </w:p>
        </w:tc>
        <w:tc>
          <w:tcPr>
            <w:tcW w:w="300" w:type="pct"/>
            <w:shd w:val="clear" w:color="auto" w:fill="auto"/>
            <w:vAlign w:val="center"/>
          </w:tcPr>
          <w:p w14:paraId="05A26CC1" w14:textId="77777777" w:rsidR="00043193" w:rsidRPr="00E4462A" w:rsidRDefault="00043193" w:rsidP="0099033B">
            <w:pPr>
              <w:spacing w:before="20" w:afterLines="20" w:after="48" w:line="220" w:lineRule="exact"/>
              <w:jc w:val="center"/>
              <w:rPr>
                <w:sz w:val="18"/>
                <w:szCs w:val="18"/>
              </w:rPr>
            </w:pPr>
            <w:r w:rsidRPr="00E4462A">
              <w:rPr>
                <w:sz w:val="18"/>
                <w:szCs w:val="18"/>
              </w:rPr>
              <w:t>1024</w:t>
            </w:r>
          </w:p>
        </w:tc>
        <w:tc>
          <w:tcPr>
            <w:tcW w:w="472" w:type="pct"/>
            <w:shd w:val="clear" w:color="auto" w:fill="auto"/>
            <w:vAlign w:val="center"/>
          </w:tcPr>
          <w:p w14:paraId="4332D1C6" w14:textId="77777777" w:rsidR="00043193" w:rsidRPr="00E4462A" w:rsidRDefault="00043193" w:rsidP="0099033B">
            <w:pPr>
              <w:spacing w:before="20" w:afterLines="20" w:after="48" w:line="220" w:lineRule="exact"/>
              <w:jc w:val="center"/>
              <w:rPr>
                <w:sz w:val="18"/>
                <w:szCs w:val="18"/>
              </w:rPr>
            </w:pPr>
            <w:r w:rsidRPr="00E4462A">
              <w:rPr>
                <w:sz w:val="18"/>
                <w:szCs w:val="18"/>
              </w:rPr>
              <w:t>QS</w:t>
            </w:r>
          </w:p>
        </w:tc>
        <w:tc>
          <w:tcPr>
            <w:tcW w:w="414" w:type="pct"/>
            <w:shd w:val="clear" w:color="auto" w:fill="auto"/>
            <w:vAlign w:val="center"/>
          </w:tcPr>
          <w:p w14:paraId="0FA67279" w14:textId="77777777" w:rsidR="00043193" w:rsidRPr="00E4462A" w:rsidRDefault="00043193" w:rsidP="0099033B">
            <w:pPr>
              <w:spacing w:before="20" w:afterLines="20" w:after="48" w:line="220" w:lineRule="exact"/>
              <w:jc w:val="center"/>
              <w:rPr>
                <w:sz w:val="18"/>
                <w:szCs w:val="18"/>
              </w:rPr>
            </w:pPr>
            <w:r w:rsidRPr="00E4462A">
              <w:rPr>
                <w:sz w:val="18"/>
                <w:szCs w:val="18"/>
              </w:rPr>
              <w:t>EM</w:t>
            </w:r>
          </w:p>
        </w:tc>
        <w:tc>
          <w:tcPr>
            <w:tcW w:w="284" w:type="pct"/>
            <w:shd w:val="clear" w:color="auto" w:fill="auto"/>
            <w:vAlign w:val="center"/>
          </w:tcPr>
          <w:p w14:paraId="7F8241C1" w14:textId="77777777" w:rsidR="00043193" w:rsidRPr="00E4462A" w:rsidRDefault="00043193" w:rsidP="0099033B">
            <w:pPr>
              <w:spacing w:before="20" w:afterLines="20" w:after="48" w:line="220" w:lineRule="exact"/>
              <w:jc w:val="center"/>
              <w:rPr>
                <w:sz w:val="18"/>
                <w:szCs w:val="18"/>
              </w:rPr>
            </w:pPr>
            <w:r w:rsidRPr="00E4462A">
              <w:rPr>
                <w:sz w:val="18"/>
                <w:szCs w:val="18"/>
              </w:rPr>
              <w:t>2.5</w:t>
            </w:r>
          </w:p>
        </w:tc>
        <w:tc>
          <w:tcPr>
            <w:tcW w:w="284" w:type="pct"/>
            <w:shd w:val="clear" w:color="auto" w:fill="auto"/>
            <w:vAlign w:val="center"/>
          </w:tcPr>
          <w:p w14:paraId="432172FD" w14:textId="77777777" w:rsidR="00043193" w:rsidRPr="00E4462A" w:rsidRDefault="00043193" w:rsidP="0099033B">
            <w:pPr>
              <w:spacing w:before="20" w:afterLines="20" w:after="48" w:line="220" w:lineRule="exact"/>
              <w:jc w:val="center"/>
              <w:rPr>
                <w:sz w:val="18"/>
                <w:szCs w:val="18"/>
              </w:rPr>
            </w:pPr>
            <w:r w:rsidRPr="00E4462A">
              <w:rPr>
                <w:sz w:val="18"/>
                <w:szCs w:val="18"/>
              </w:rPr>
              <w:t>2.5</w:t>
            </w:r>
          </w:p>
        </w:tc>
        <w:tc>
          <w:tcPr>
            <w:tcW w:w="453" w:type="pct"/>
            <w:vAlign w:val="center"/>
          </w:tcPr>
          <w:p w14:paraId="754520B5" w14:textId="77777777" w:rsidR="00043193" w:rsidRPr="00E4462A" w:rsidRDefault="00043193" w:rsidP="0099033B">
            <w:pPr>
              <w:spacing w:before="20" w:afterLines="20" w:after="48" w:line="220" w:lineRule="exact"/>
              <w:jc w:val="center"/>
              <w:rPr>
                <w:sz w:val="18"/>
                <w:szCs w:val="18"/>
              </w:rPr>
            </w:pPr>
            <w:r w:rsidRPr="00E4462A">
              <w:rPr>
                <w:sz w:val="18"/>
                <w:szCs w:val="18"/>
              </w:rPr>
              <w:t>see caption</w:t>
            </w:r>
          </w:p>
        </w:tc>
      </w:tr>
      <w:tr w:rsidR="00D64375" w:rsidRPr="00E4462A" w14:paraId="34C2D60D" w14:textId="77777777" w:rsidTr="002B3CE9">
        <w:tc>
          <w:tcPr>
            <w:tcW w:w="868" w:type="pct"/>
            <w:shd w:val="clear" w:color="auto" w:fill="auto"/>
            <w:vAlign w:val="center"/>
          </w:tcPr>
          <w:p w14:paraId="6A503FA5" w14:textId="77777777" w:rsidR="00043193" w:rsidRPr="00E4462A" w:rsidRDefault="00043193" w:rsidP="008B22B1">
            <w:pPr>
              <w:jc w:val="both"/>
              <w:rPr>
                <w:sz w:val="18"/>
                <w:szCs w:val="18"/>
              </w:rPr>
            </w:pPr>
            <w:r w:rsidRPr="00E4462A">
              <w:rPr>
                <w:sz w:val="18"/>
                <w:szCs w:val="18"/>
                <w:vertAlign w:val="superscript"/>
              </w:rPr>
              <w:t>1</w:t>
            </w:r>
            <w:r w:rsidRPr="00E4462A">
              <w:rPr>
                <w:sz w:val="18"/>
                <w:szCs w:val="18"/>
              </w:rPr>
              <w:t xml:space="preserve">H, </w:t>
            </w:r>
            <w:r w:rsidRPr="00E4462A">
              <w:rPr>
                <w:sz w:val="18"/>
                <w:szCs w:val="18"/>
                <w:vertAlign w:val="superscript"/>
              </w:rPr>
              <w:t>1</w:t>
            </w:r>
            <w:r w:rsidRPr="00E4462A">
              <w:rPr>
                <w:sz w:val="18"/>
                <w:szCs w:val="18"/>
              </w:rPr>
              <w:t>H TOCSY</w:t>
            </w:r>
          </w:p>
        </w:tc>
        <w:tc>
          <w:tcPr>
            <w:tcW w:w="535" w:type="pct"/>
            <w:shd w:val="clear" w:color="auto" w:fill="auto"/>
            <w:vAlign w:val="center"/>
          </w:tcPr>
          <w:p w14:paraId="23A69D25" w14:textId="13311C7F" w:rsidR="00043193" w:rsidRPr="00E4462A" w:rsidRDefault="00F56627" w:rsidP="0099033B">
            <w:pPr>
              <w:jc w:val="center"/>
              <w:rPr>
                <w:sz w:val="18"/>
                <w:szCs w:val="18"/>
              </w:rPr>
            </w:pPr>
            <w:r w:rsidRPr="00E4462A">
              <w:rPr>
                <w:sz w:val="18"/>
                <w:szCs w:val="18"/>
              </w:rPr>
              <w:t>3</w:t>
            </w:r>
          </w:p>
        </w:tc>
        <w:tc>
          <w:tcPr>
            <w:tcW w:w="396" w:type="pct"/>
            <w:shd w:val="clear" w:color="auto" w:fill="auto"/>
            <w:vAlign w:val="center"/>
          </w:tcPr>
          <w:p w14:paraId="49E7661D" w14:textId="77777777" w:rsidR="00043193" w:rsidRPr="00E4462A" w:rsidRDefault="00043193" w:rsidP="0099033B">
            <w:pPr>
              <w:jc w:val="center"/>
              <w:rPr>
                <w:sz w:val="18"/>
                <w:szCs w:val="18"/>
              </w:rPr>
            </w:pPr>
            <w:r w:rsidRPr="00E4462A">
              <w:rPr>
                <w:sz w:val="18"/>
                <w:szCs w:val="18"/>
              </w:rPr>
              <w:t>8QCI</w:t>
            </w:r>
          </w:p>
        </w:tc>
        <w:tc>
          <w:tcPr>
            <w:tcW w:w="347" w:type="pct"/>
            <w:shd w:val="clear" w:color="auto" w:fill="auto"/>
            <w:vAlign w:val="center"/>
          </w:tcPr>
          <w:p w14:paraId="4D453FED" w14:textId="253FE999"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12</w:t>
            </w:r>
          </w:p>
        </w:tc>
        <w:tc>
          <w:tcPr>
            <w:tcW w:w="300" w:type="pct"/>
            <w:shd w:val="clear" w:color="auto" w:fill="auto"/>
            <w:vAlign w:val="center"/>
          </w:tcPr>
          <w:p w14:paraId="74B23552" w14:textId="77777777" w:rsidR="00043193" w:rsidRPr="00E4462A" w:rsidRDefault="00043193" w:rsidP="0099033B">
            <w:pPr>
              <w:jc w:val="center"/>
              <w:rPr>
                <w:sz w:val="18"/>
                <w:szCs w:val="18"/>
              </w:rPr>
            </w:pPr>
            <w:r w:rsidRPr="00E4462A">
              <w:rPr>
                <w:sz w:val="18"/>
                <w:szCs w:val="18"/>
              </w:rPr>
              <w:t>1000</w:t>
            </w:r>
          </w:p>
        </w:tc>
        <w:tc>
          <w:tcPr>
            <w:tcW w:w="347" w:type="pct"/>
            <w:shd w:val="clear" w:color="auto" w:fill="auto"/>
            <w:vAlign w:val="center"/>
          </w:tcPr>
          <w:p w14:paraId="73B47CE7" w14:textId="0D2FF6D2"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2500</w:t>
            </w:r>
          </w:p>
        </w:tc>
        <w:tc>
          <w:tcPr>
            <w:tcW w:w="300" w:type="pct"/>
            <w:shd w:val="clear" w:color="auto" w:fill="auto"/>
            <w:vAlign w:val="center"/>
          </w:tcPr>
          <w:p w14:paraId="6E289C55" w14:textId="77777777" w:rsidR="00043193" w:rsidRPr="00E4462A" w:rsidRDefault="00043193" w:rsidP="0099033B">
            <w:pPr>
              <w:jc w:val="center"/>
              <w:rPr>
                <w:sz w:val="18"/>
                <w:szCs w:val="18"/>
              </w:rPr>
            </w:pPr>
            <w:r w:rsidRPr="00E4462A">
              <w:rPr>
                <w:sz w:val="18"/>
                <w:szCs w:val="18"/>
              </w:rPr>
              <w:t>1794</w:t>
            </w:r>
          </w:p>
        </w:tc>
        <w:tc>
          <w:tcPr>
            <w:tcW w:w="472" w:type="pct"/>
            <w:shd w:val="clear" w:color="auto" w:fill="auto"/>
            <w:vAlign w:val="center"/>
          </w:tcPr>
          <w:p w14:paraId="270250CE" w14:textId="77777777" w:rsidR="00043193" w:rsidRPr="00E4462A" w:rsidRDefault="00043193" w:rsidP="0099033B">
            <w:pPr>
              <w:jc w:val="center"/>
              <w:rPr>
                <w:sz w:val="18"/>
                <w:szCs w:val="18"/>
              </w:rPr>
            </w:pPr>
            <w:r w:rsidRPr="00E4462A">
              <w:rPr>
                <w:sz w:val="18"/>
                <w:szCs w:val="18"/>
              </w:rPr>
              <w:t>QS</w:t>
            </w:r>
          </w:p>
        </w:tc>
        <w:tc>
          <w:tcPr>
            <w:tcW w:w="414" w:type="pct"/>
            <w:shd w:val="clear" w:color="auto" w:fill="auto"/>
            <w:vAlign w:val="center"/>
          </w:tcPr>
          <w:p w14:paraId="1EE2C648" w14:textId="77777777" w:rsidR="00043193" w:rsidRPr="00E4462A" w:rsidRDefault="00043193" w:rsidP="0099033B">
            <w:pPr>
              <w:jc w:val="center"/>
              <w:rPr>
                <w:sz w:val="18"/>
                <w:szCs w:val="18"/>
              </w:rPr>
            </w:pPr>
            <w:r w:rsidRPr="00E4462A">
              <w:rPr>
                <w:sz w:val="18"/>
                <w:szCs w:val="18"/>
              </w:rPr>
              <w:t>EM</w:t>
            </w:r>
          </w:p>
        </w:tc>
        <w:tc>
          <w:tcPr>
            <w:tcW w:w="284" w:type="pct"/>
            <w:shd w:val="clear" w:color="auto" w:fill="auto"/>
            <w:vAlign w:val="center"/>
          </w:tcPr>
          <w:p w14:paraId="7CDD6AA8" w14:textId="77777777" w:rsidR="00043193" w:rsidRPr="00E4462A" w:rsidRDefault="00043193" w:rsidP="0099033B">
            <w:pPr>
              <w:jc w:val="center"/>
              <w:rPr>
                <w:sz w:val="18"/>
                <w:szCs w:val="18"/>
              </w:rPr>
            </w:pPr>
            <w:r w:rsidRPr="00E4462A">
              <w:rPr>
                <w:sz w:val="18"/>
                <w:szCs w:val="18"/>
              </w:rPr>
              <w:t>2.5</w:t>
            </w:r>
          </w:p>
        </w:tc>
        <w:tc>
          <w:tcPr>
            <w:tcW w:w="284" w:type="pct"/>
            <w:shd w:val="clear" w:color="auto" w:fill="auto"/>
            <w:vAlign w:val="center"/>
          </w:tcPr>
          <w:p w14:paraId="55519934" w14:textId="77777777" w:rsidR="00043193" w:rsidRPr="00E4462A" w:rsidRDefault="00043193" w:rsidP="0099033B">
            <w:pPr>
              <w:jc w:val="center"/>
              <w:rPr>
                <w:sz w:val="18"/>
                <w:szCs w:val="18"/>
              </w:rPr>
            </w:pPr>
            <w:r w:rsidRPr="00E4462A">
              <w:rPr>
                <w:sz w:val="18"/>
                <w:szCs w:val="18"/>
              </w:rPr>
              <w:t>2.5</w:t>
            </w:r>
          </w:p>
        </w:tc>
        <w:tc>
          <w:tcPr>
            <w:tcW w:w="453" w:type="pct"/>
            <w:vAlign w:val="center"/>
          </w:tcPr>
          <w:p w14:paraId="366F4891" w14:textId="77777777" w:rsidR="00043193" w:rsidRPr="00E4462A" w:rsidRDefault="00043193" w:rsidP="0099033B">
            <w:pPr>
              <w:spacing w:before="20" w:afterLines="20" w:after="48" w:line="220" w:lineRule="exact"/>
              <w:jc w:val="center"/>
              <w:rPr>
                <w:sz w:val="18"/>
                <w:szCs w:val="18"/>
              </w:rPr>
            </w:pPr>
            <w:r w:rsidRPr="00E4462A">
              <w:rPr>
                <w:sz w:val="18"/>
                <w:szCs w:val="18"/>
              </w:rPr>
              <w:t>FCE-S</w:t>
            </w:r>
          </w:p>
          <w:p w14:paraId="663FB2FF" w14:textId="77777777" w:rsidR="00043193" w:rsidRPr="00E4462A" w:rsidRDefault="00043193" w:rsidP="0099033B">
            <w:pPr>
              <w:jc w:val="center"/>
              <w:rPr>
                <w:sz w:val="18"/>
                <w:szCs w:val="18"/>
              </w:rPr>
            </w:pPr>
            <w:r w:rsidRPr="00E4462A">
              <w:rPr>
                <w:sz w:val="18"/>
                <w:szCs w:val="18"/>
              </w:rPr>
              <w:t>9.1 mg</w:t>
            </w:r>
          </w:p>
        </w:tc>
      </w:tr>
      <w:tr w:rsidR="00D64375" w:rsidRPr="00E4462A" w14:paraId="224208B5" w14:textId="77777777" w:rsidTr="002B3CE9">
        <w:tc>
          <w:tcPr>
            <w:tcW w:w="868" w:type="pct"/>
            <w:shd w:val="clear" w:color="auto" w:fill="auto"/>
            <w:vAlign w:val="center"/>
          </w:tcPr>
          <w:p w14:paraId="319A7C67" w14:textId="77777777" w:rsidR="00043193" w:rsidRPr="00E4462A" w:rsidRDefault="00043193" w:rsidP="002B3CE9">
            <w:pPr>
              <w:rPr>
                <w:sz w:val="18"/>
                <w:szCs w:val="18"/>
              </w:rPr>
            </w:pPr>
            <w:r w:rsidRPr="00E4462A">
              <w:rPr>
                <w:sz w:val="18"/>
                <w:szCs w:val="18"/>
                <w:vertAlign w:val="superscript"/>
              </w:rPr>
              <w:t>1</w:t>
            </w:r>
            <w:r w:rsidRPr="00E4462A">
              <w:rPr>
                <w:sz w:val="18"/>
                <w:szCs w:val="18"/>
              </w:rPr>
              <w:t>H,</w:t>
            </w:r>
            <w:r w:rsidRPr="00E4462A">
              <w:rPr>
                <w:sz w:val="18"/>
                <w:szCs w:val="18"/>
                <w:vertAlign w:val="superscript"/>
              </w:rPr>
              <w:t>13</w:t>
            </w:r>
            <w:r w:rsidRPr="00E4462A">
              <w:rPr>
                <w:sz w:val="18"/>
                <w:szCs w:val="18"/>
              </w:rPr>
              <w:t>C DEPT HSQC</w:t>
            </w:r>
          </w:p>
        </w:tc>
        <w:tc>
          <w:tcPr>
            <w:tcW w:w="535" w:type="pct"/>
            <w:shd w:val="clear" w:color="auto" w:fill="auto"/>
            <w:vAlign w:val="center"/>
          </w:tcPr>
          <w:p w14:paraId="0EA3406E" w14:textId="5E1EF71F" w:rsidR="00043193" w:rsidRPr="00E4462A" w:rsidRDefault="00F56627" w:rsidP="0099033B">
            <w:pPr>
              <w:jc w:val="center"/>
              <w:rPr>
                <w:sz w:val="18"/>
                <w:szCs w:val="18"/>
              </w:rPr>
            </w:pPr>
            <w:r w:rsidRPr="00E4462A">
              <w:rPr>
                <w:sz w:val="18"/>
                <w:szCs w:val="18"/>
              </w:rPr>
              <w:t>4</w:t>
            </w:r>
          </w:p>
        </w:tc>
        <w:tc>
          <w:tcPr>
            <w:tcW w:w="396" w:type="pct"/>
            <w:shd w:val="clear" w:color="auto" w:fill="auto"/>
            <w:vAlign w:val="center"/>
          </w:tcPr>
          <w:p w14:paraId="27EB7A9A" w14:textId="77777777" w:rsidR="00043193" w:rsidRPr="00E4462A" w:rsidRDefault="00043193" w:rsidP="0099033B">
            <w:pPr>
              <w:jc w:val="center"/>
              <w:rPr>
                <w:sz w:val="18"/>
                <w:szCs w:val="18"/>
              </w:rPr>
            </w:pPr>
            <w:r w:rsidRPr="00E4462A">
              <w:rPr>
                <w:sz w:val="18"/>
                <w:szCs w:val="18"/>
              </w:rPr>
              <w:t>8QCI</w:t>
            </w:r>
          </w:p>
        </w:tc>
        <w:tc>
          <w:tcPr>
            <w:tcW w:w="347" w:type="pct"/>
            <w:shd w:val="clear" w:color="auto" w:fill="auto"/>
            <w:vAlign w:val="center"/>
          </w:tcPr>
          <w:p w14:paraId="0FCB3A18" w14:textId="21F5F85E"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320</w:t>
            </w:r>
          </w:p>
        </w:tc>
        <w:tc>
          <w:tcPr>
            <w:tcW w:w="300" w:type="pct"/>
            <w:shd w:val="clear" w:color="auto" w:fill="auto"/>
            <w:vAlign w:val="center"/>
          </w:tcPr>
          <w:p w14:paraId="02805D86" w14:textId="5DA7FBE0"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250</w:t>
            </w:r>
          </w:p>
        </w:tc>
        <w:tc>
          <w:tcPr>
            <w:tcW w:w="347" w:type="pct"/>
            <w:shd w:val="clear" w:color="auto" w:fill="auto"/>
            <w:vAlign w:val="center"/>
          </w:tcPr>
          <w:p w14:paraId="11909701" w14:textId="514C05AC"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1250</w:t>
            </w:r>
          </w:p>
        </w:tc>
        <w:tc>
          <w:tcPr>
            <w:tcW w:w="300" w:type="pct"/>
            <w:shd w:val="clear" w:color="auto" w:fill="auto"/>
            <w:vAlign w:val="center"/>
          </w:tcPr>
          <w:p w14:paraId="72FDB31D" w14:textId="6475749B"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256</w:t>
            </w:r>
          </w:p>
        </w:tc>
        <w:tc>
          <w:tcPr>
            <w:tcW w:w="472" w:type="pct"/>
            <w:shd w:val="clear" w:color="auto" w:fill="auto"/>
            <w:vAlign w:val="center"/>
          </w:tcPr>
          <w:p w14:paraId="09CD67C2" w14:textId="77777777" w:rsidR="00043193" w:rsidRPr="00E4462A" w:rsidRDefault="00043193" w:rsidP="0099033B">
            <w:pPr>
              <w:jc w:val="center"/>
              <w:rPr>
                <w:sz w:val="18"/>
                <w:szCs w:val="18"/>
              </w:rPr>
            </w:pPr>
            <w:r w:rsidRPr="00E4462A">
              <w:rPr>
                <w:sz w:val="18"/>
                <w:szCs w:val="18"/>
              </w:rPr>
              <w:t>QS</w:t>
            </w:r>
          </w:p>
        </w:tc>
        <w:tc>
          <w:tcPr>
            <w:tcW w:w="414" w:type="pct"/>
            <w:shd w:val="clear" w:color="auto" w:fill="auto"/>
            <w:vAlign w:val="center"/>
          </w:tcPr>
          <w:p w14:paraId="281239A5" w14:textId="77777777" w:rsidR="00043193" w:rsidRPr="00E4462A" w:rsidRDefault="00043193" w:rsidP="0099033B">
            <w:pPr>
              <w:jc w:val="center"/>
              <w:rPr>
                <w:sz w:val="18"/>
                <w:szCs w:val="18"/>
              </w:rPr>
            </w:pPr>
            <w:r w:rsidRPr="00E4462A">
              <w:rPr>
                <w:sz w:val="18"/>
                <w:szCs w:val="18"/>
              </w:rPr>
              <w:t>EM</w:t>
            </w:r>
          </w:p>
        </w:tc>
        <w:tc>
          <w:tcPr>
            <w:tcW w:w="284" w:type="pct"/>
            <w:shd w:val="clear" w:color="auto" w:fill="auto"/>
            <w:vAlign w:val="center"/>
          </w:tcPr>
          <w:p w14:paraId="5E3A434F" w14:textId="77777777" w:rsidR="00043193" w:rsidRPr="00E4462A" w:rsidRDefault="00043193" w:rsidP="0099033B">
            <w:pPr>
              <w:jc w:val="center"/>
              <w:rPr>
                <w:sz w:val="18"/>
                <w:szCs w:val="18"/>
              </w:rPr>
            </w:pPr>
            <w:r w:rsidRPr="00E4462A">
              <w:rPr>
                <w:sz w:val="18"/>
                <w:szCs w:val="18"/>
              </w:rPr>
              <w:t>2.5</w:t>
            </w:r>
          </w:p>
        </w:tc>
        <w:tc>
          <w:tcPr>
            <w:tcW w:w="284" w:type="pct"/>
            <w:shd w:val="clear" w:color="auto" w:fill="auto"/>
            <w:vAlign w:val="center"/>
          </w:tcPr>
          <w:p w14:paraId="7C351BC4" w14:textId="77777777" w:rsidR="00043193" w:rsidRPr="00E4462A" w:rsidRDefault="00043193" w:rsidP="0099033B">
            <w:pPr>
              <w:jc w:val="center"/>
              <w:rPr>
                <w:sz w:val="18"/>
                <w:szCs w:val="18"/>
              </w:rPr>
            </w:pPr>
            <w:r w:rsidRPr="00E4462A">
              <w:rPr>
                <w:sz w:val="18"/>
                <w:szCs w:val="18"/>
              </w:rPr>
              <w:t>2.5</w:t>
            </w:r>
          </w:p>
        </w:tc>
        <w:tc>
          <w:tcPr>
            <w:tcW w:w="453" w:type="pct"/>
            <w:vAlign w:val="center"/>
          </w:tcPr>
          <w:p w14:paraId="1C7727E4" w14:textId="77777777" w:rsidR="00043193" w:rsidRPr="00E4462A" w:rsidRDefault="00043193" w:rsidP="0099033B">
            <w:pPr>
              <w:jc w:val="center"/>
              <w:rPr>
                <w:sz w:val="18"/>
                <w:szCs w:val="18"/>
              </w:rPr>
            </w:pPr>
            <w:r w:rsidRPr="00E4462A">
              <w:rPr>
                <w:sz w:val="18"/>
                <w:szCs w:val="18"/>
              </w:rPr>
              <w:t>FCE-S</w:t>
            </w:r>
          </w:p>
        </w:tc>
      </w:tr>
      <w:tr w:rsidR="00D64375" w:rsidRPr="00E4462A" w14:paraId="2E0AB906" w14:textId="77777777" w:rsidTr="002B3CE9">
        <w:tc>
          <w:tcPr>
            <w:tcW w:w="868" w:type="pct"/>
            <w:shd w:val="clear" w:color="auto" w:fill="auto"/>
            <w:vAlign w:val="center"/>
          </w:tcPr>
          <w:p w14:paraId="5A54C80B" w14:textId="77777777" w:rsidR="00043193" w:rsidRPr="00E4462A" w:rsidRDefault="00043193" w:rsidP="008B22B1">
            <w:pPr>
              <w:spacing w:before="20" w:afterLines="20" w:after="48" w:line="220" w:lineRule="exact"/>
              <w:jc w:val="both"/>
              <w:rPr>
                <w:sz w:val="18"/>
                <w:szCs w:val="18"/>
              </w:rPr>
            </w:pPr>
            <w:r w:rsidRPr="00E4462A">
              <w:rPr>
                <w:sz w:val="18"/>
                <w:szCs w:val="18"/>
                <w:vertAlign w:val="superscript"/>
              </w:rPr>
              <w:t>1</w:t>
            </w:r>
            <w:r w:rsidRPr="00E4462A">
              <w:rPr>
                <w:sz w:val="18"/>
                <w:szCs w:val="18"/>
              </w:rPr>
              <w:t xml:space="preserve">H, </w:t>
            </w:r>
            <w:r w:rsidRPr="00E4462A">
              <w:rPr>
                <w:sz w:val="18"/>
                <w:szCs w:val="18"/>
                <w:vertAlign w:val="superscript"/>
              </w:rPr>
              <w:t>1</w:t>
            </w:r>
            <w:r w:rsidRPr="00E4462A">
              <w:rPr>
                <w:sz w:val="18"/>
                <w:szCs w:val="18"/>
              </w:rPr>
              <w:t>H JRES</w:t>
            </w:r>
          </w:p>
        </w:tc>
        <w:tc>
          <w:tcPr>
            <w:tcW w:w="535" w:type="pct"/>
            <w:shd w:val="clear" w:color="auto" w:fill="auto"/>
            <w:vAlign w:val="center"/>
          </w:tcPr>
          <w:p w14:paraId="018B21FF" w14:textId="77777777" w:rsidR="00043193" w:rsidRPr="00E4462A" w:rsidRDefault="00043193" w:rsidP="0099033B">
            <w:pPr>
              <w:spacing w:before="20" w:afterLines="20" w:after="48" w:line="220" w:lineRule="exact"/>
              <w:jc w:val="center"/>
              <w:rPr>
                <w:sz w:val="18"/>
                <w:szCs w:val="18"/>
              </w:rPr>
            </w:pPr>
            <w:r w:rsidRPr="00E4462A">
              <w:rPr>
                <w:sz w:val="18"/>
                <w:szCs w:val="18"/>
              </w:rPr>
              <w:t>S6</w:t>
            </w:r>
          </w:p>
        </w:tc>
        <w:tc>
          <w:tcPr>
            <w:tcW w:w="396" w:type="pct"/>
            <w:shd w:val="clear" w:color="auto" w:fill="auto"/>
            <w:vAlign w:val="center"/>
          </w:tcPr>
          <w:p w14:paraId="51A3D880" w14:textId="77777777" w:rsidR="00043193" w:rsidRPr="00E4462A" w:rsidRDefault="00043193" w:rsidP="0099033B">
            <w:pPr>
              <w:spacing w:before="20" w:afterLines="20" w:after="48" w:line="220" w:lineRule="exact"/>
              <w:jc w:val="center"/>
              <w:rPr>
                <w:sz w:val="18"/>
                <w:szCs w:val="18"/>
              </w:rPr>
            </w:pPr>
            <w:r w:rsidRPr="00E4462A">
              <w:rPr>
                <w:sz w:val="18"/>
                <w:szCs w:val="18"/>
              </w:rPr>
              <w:t>8QCI</w:t>
            </w:r>
          </w:p>
        </w:tc>
        <w:tc>
          <w:tcPr>
            <w:tcW w:w="347" w:type="pct"/>
            <w:shd w:val="clear" w:color="auto" w:fill="auto"/>
            <w:vAlign w:val="center"/>
          </w:tcPr>
          <w:p w14:paraId="15B58E6E" w14:textId="123DA178" w:rsidR="00043193" w:rsidRPr="00E4462A" w:rsidRDefault="00F56627" w:rsidP="0099033B">
            <w:pPr>
              <w:spacing w:before="20" w:afterLines="20" w:after="48" w:line="220" w:lineRule="exact"/>
              <w:jc w:val="center"/>
              <w:rPr>
                <w:sz w:val="18"/>
                <w:szCs w:val="18"/>
              </w:rPr>
            </w:pPr>
            <w:r w:rsidRPr="00E4462A">
              <w:rPr>
                <w:sz w:val="18"/>
                <w:szCs w:val="18"/>
              </w:rPr>
              <w:t xml:space="preserve">  </w:t>
            </w:r>
            <w:r w:rsidR="00043193" w:rsidRPr="00E4462A">
              <w:rPr>
                <w:sz w:val="18"/>
                <w:szCs w:val="18"/>
              </w:rPr>
              <w:t>3072</w:t>
            </w:r>
          </w:p>
        </w:tc>
        <w:tc>
          <w:tcPr>
            <w:tcW w:w="300" w:type="pct"/>
            <w:shd w:val="clear" w:color="auto" w:fill="auto"/>
            <w:vAlign w:val="center"/>
          </w:tcPr>
          <w:p w14:paraId="7125CE6D" w14:textId="77777777" w:rsidR="00043193" w:rsidRPr="00E4462A" w:rsidRDefault="00043193" w:rsidP="0099033B">
            <w:pPr>
              <w:spacing w:before="20" w:afterLines="20" w:after="48" w:line="220" w:lineRule="exact"/>
              <w:jc w:val="center"/>
              <w:rPr>
                <w:sz w:val="18"/>
                <w:szCs w:val="18"/>
              </w:rPr>
            </w:pPr>
            <w:r w:rsidRPr="00E4462A">
              <w:rPr>
                <w:sz w:val="18"/>
                <w:szCs w:val="18"/>
              </w:rPr>
              <w:t>1000</w:t>
            </w:r>
          </w:p>
        </w:tc>
        <w:tc>
          <w:tcPr>
            <w:tcW w:w="347" w:type="pct"/>
            <w:shd w:val="clear" w:color="auto" w:fill="auto"/>
            <w:vAlign w:val="center"/>
          </w:tcPr>
          <w:p w14:paraId="526D1BD7" w14:textId="222E0B9B" w:rsidR="00043193" w:rsidRPr="00E4462A" w:rsidRDefault="00F56627" w:rsidP="0099033B">
            <w:pPr>
              <w:spacing w:before="20" w:afterLines="20" w:after="48" w:line="220" w:lineRule="exact"/>
              <w:jc w:val="center"/>
              <w:rPr>
                <w:sz w:val="18"/>
                <w:szCs w:val="18"/>
              </w:rPr>
            </w:pPr>
            <w:r w:rsidRPr="00E4462A">
              <w:rPr>
                <w:sz w:val="18"/>
                <w:szCs w:val="18"/>
              </w:rPr>
              <w:t xml:space="preserve">    </w:t>
            </w:r>
            <w:r w:rsidR="00043193" w:rsidRPr="00E4462A">
              <w:rPr>
                <w:sz w:val="18"/>
                <w:szCs w:val="18"/>
              </w:rPr>
              <w:t>500</w:t>
            </w:r>
          </w:p>
        </w:tc>
        <w:tc>
          <w:tcPr>
            <w:tcW w:w="300" w:type="pct"/>
            <w:shd w:val="clear" w:color="auto" w:fill="auto"/>
            <w:vAlign w:val="center"/>
          </w:tcPr>
          <w:p w14:paraId="3ED1E4D7" w14:textId="4DFE7FB2" w:rsidR="00043193" w:rsidRPr="00E4462A" w:rsidRDefault="00F56627" w:rsidP="0099033B">
            <w:pPr>
              <w:spacing w:before="20" w:afterLines="20" w:after="48" w:line="220" w:lineRule="exact"/>
              <w:jc w:val="center"/>
              <w:rPr>
                <w:sz w:val="18"/>
                <w:szCs w:val="18"/>
              </w:rPr>
            </w:pPr>
            <w:r w:rsidRPr="00E4462A">
              <w:rPr>
                <w:sz w:val="18"/>
                <w:szCs w:val="18"/>
              </w:rPr>
              <w:t xml:space="preserve">    </w:t>
            </w:r>
            <w:r w:rsidR="00043193" w:rsidRPr="00E4462A">
              <w:rPr>
                <w:sz w:val="18"/>
                <w:szCs w:val="18"/>
              </w:rPr>
              <w:t>49</w:t>
            </w:r>
          </w:p>
        </w:tc>
        <w:tc>
          <w:tcPr>
            <w:tcW w:w="472" w:type="pct"/>
            <w:shd w:val="clear" w:color="auto" w:fill="auto"/>
            <w:vAlign w:val="center"/>
          </w:tcPr>
          <w:p w14:paraId="1544EEDD" w14:textId="77777777" w:rsidR="00043193" w:rsidRPr="00E4462A" w:rsidRDefault="00043193" w:rsidP="0099033B">
            <w:pPr>
              <w:spacing w:before="20" w:afterLines="20" w:after="48" w:line="220" w:lineRule="exact"/>
              <w:jc w:val="center"/>
              <w:rPr>
                <w:sz w:val="18"/>
                <w:szCs w:val="18"/>
              </w:rPr>
            </w:pPr>
            <w:r w:rsidRPr="00E4462A">
              <w:rPr>
                <w:sz w:val="18"/>
                <w:szCs w:val="18"/>
              </w:rPr>
              <w:t>QS</w:t>
            </w:r>
          </w:p>
        </w:tc>
        <w:tc>
          <w:tcPr>
            <w:tcW w:w="414" w:type="pct"/>
            <w:shd w:val="clear" w:color="auto" w:fill="auto"/>
            <w:vAlign w:val="center"/>
          </w:tcPr>
          <w:p w14:paraId="108C5733" w14:textId="77777777" w:rsidR="00043193" w:rsidRPr="00E4462A" w:rsidRDefault="00043193" w:rsidP="0099033B">
            <w:pPr>
              <w:spacing w:before="20" w:afterLines="20" w:after="48" w:line="220" w:lineRule="exact"/>
              <w:jc w:val="center"/>
              <w:rPr>
                <w:sz w:val="18"/>
                <w:szCs w:val="18"/>
              </w:rPr>
            </w:pPr>
            <w:r w:rsidRPr="00E4462A">
              <w:rPr>
                <w:sz w:val="18"/>
                <w:szCs w:val="18"/>
              </w:rPr>
              <w:t>QS</w:t>
            </w:r>
          </w:p>
        </w:tc>
        <w:tc>
          <w:tcPr>
            <w:tcW w:w="284" w:type="pct"/>
            <w:shd w:val="clear" w:color="auto" w:fill="auto"/>
            <w:vAlign w:val="center"/>
          </w:tcPr>
          <w:p w14:paraId="72F9FADE" w14:textId="77777777" w:rsidR="00043193" w:rsidRPr="00E4462A" w:rsidRDefault="00043193" w:rsidP="0099033B">
            <w:pPr>
              <w:spacing w:before="20" w:afterLines="20" w:after="48" w:line="220" w:lineRule="exact"/>
              <w:jc w:val="center"/>
              <w:rPr>
                <w:sz w:val="18"/>
                <w:szCs w:val="18"/>
              </w:rPr>
            </w:pPr>
            <w:r w:rsidRPr="00E4462A">
              <w:rPr>
                <w:sz w:val="18"/>
                <w:szCs w:val="18"/>
              </w:rPr>
              <w:t>0</w:t>
            </w:r>
          </w:p>
        </w:tc>
        <w:tc>
          <w:tcPr>
            <w:tcW w:w="284" w:type="pct"/>
            <w:shd w:val="clear" w:color="auto" w:fill="auto"/>
            <w:vAlign w:val="center"/>
          </w:tcPr>
          <w:p w14:paraId="7B1A1174" w14:textId="77777777" w:rsidR="00043193" w:rsidRPr="00E4462A" w:rsidRDefault="00043193" w:rsidP="0099033B">
            <w:pPr>
              <w:spacing w:before="20" w:afterLines="20" w:after="48" w:line="220" w:lineRule="exact"/>
              <w:jc w:val="center"/>
              <w:rPr>
                <w:sz w:val="18"/>
                <w:szCs w:val="18"/>
              </w:rPr>
            </w:pPr>
            <w:r w:rsidRPr="00E4462A">
              <w:rPr>
                <w:sz w:val="18"/>
                <w:szCs w:val="18"/>
              </w:rPr>
              <w:t>0</w:t>
            </w:r>
          </w:p>
        </w:tc>
        <w:tc>
          <w:tcPr>
            <w:tcW w:w="453" w:type="pct"/>
            <w:vAlign w:val="center"/>
          </w:tcPr>
          <w:p w14:paraId="321C8441" w14:textId="77777777" w:rsidR="00043193" w:rsidRPr="00E4462A" w:rsidRDefault="00043193" w:rsidP="0099033B">
            <w:pPr>
              <w:spacing w:before="20" w:afterLines="20" w:after="48" w:line="220" w:lineRule="exact"/>
              <w:jc w:val="center"/>
              <w:rPr>
                <w:sz w:val="18"/>
                <w:szCs w:val="18"/>
              </w:rPr>
            </w:pPr>
            <w:r w:rsidRPr="00E4462A">
              <w:rPr>
                <w:sz w:val="18"/>
                <w:szCs w:val="18"/>
              </w:rPr>
              <w:t>FCE-S</w:t>
            </w:r>
          </w:p>
          <w:p w14:paraId="0B0A87DC" w14:textId="77777777" w:rsidR="00043193" w:rsidRPr="00E4462A" w:rsidRDefault="00043193" w:rsidP="0099033B">
            <w:pPr>
              <w:spacing w:before="20" w:afterLines="20" w:after="48" w:line="220" w:lineRule="exact"/>
              <w:jc w:val="center"/>
              <w:rPr>
                <w:sz w:val="18"/>
                <w:szCs w:val="18"/>
              </w:rPr>
            </w:pPr>
            <w:r w:rsidRPr="00E4462A">
              <w:rPr>
                <w:sz w:val="18"/>
                <w:szCs w:val="18"/>
              </w:rPr>
              <w:t>9.1 mg</w:t>
            </w:r>
          </w:p>
        </w:tc>
      </w:tr>
      <w:tr w:rsidR="00D64375" w:rsidRPr="00E4462A" w14:paraId="13A17C64" w14:textId="77777777" w:rsidTr="002B3CE9">
        <w:tc>
          <w:tcPr>
            <w:tcW w:w="868" w:type="pct"/>
            <w:shd w:val="clear" w:color="auto" w:fill="auto"/>
            <w:vAlign w:val="center"/>
          </w:tcPr>
          <w:p w14:paraId="6C68D433" w14:textId="77777777" w:rsidR="00043193" w:rsidRPr="00E4462A" w:rsidRDefault="00043193" w:rsidP="008B22B1">
            <w:pPr>
              <w:jc w:val="both"/>
              <w:rPr>
                <w:sz w:val="18"/>
                <w:szCs w:val="18"/>
              </w:rPr>
            </w:pPr>
            <w:r w:rsidRPr="00E4462A">
              <w:rPr>
                <w:sz w:val="18"/>
                <w:szCs w:val="18"/>
                <w:vertAlign w:val="superscript"/>
              </w:rPr>
              <w:t>1</w:t>
            </w:r>
            <w:r w:rsidRPr="00E4462A">
              <w:rPr>
                <w:sz w:val="18"/>
                <w:szCs w:val="18"/>
              </w:rPr>
              <w:t xml:space="preserve">H, </w:t>
            </w:r>
            <w:r w:rsidRPr="00E4462A">
              <w:rPr>
                <w:sz w:val="18"/>
                <w:szCs w:val="18"/>
                <w:vertAlign w:val="superscript"/>
              </w:rPr>
              <w:t>13</w:t>
            </w:r>
            <w:r w:rsidRPr="00E4462A">
              <w:rPr>
                <w:sz w:val="18"/>
                <w:szCs w:val="18"/>
              </w:rPr>
              <w:t>C HSQC</w:t>
            </w:r>
          </w:p>
        </w:tc>
        <w:tc>
          <w:tcPr>
            <w:tcW w:w="535" w:type="pct"/>
            <w:shd w:val="clear" w:color="auto" w:fill="auto"/>
            <w:vAlign w:val="center"/>
          </w:tcPr>
          <w:p w14:paraId="0CA18B23" w14:textId="64FB48EF" w:rsidR="00043193" w:rsidRPr="00E4462A" w:rsidRDefault="00F56627" w:rsidP="0099033B">
            <w:pPr>
              <w:jc w:val="center"/>
              <w:rPr>
                <w:sz w:val="18"/>
                <w:szCs w:val="18"/>
              </w:rPr>
            </w:pPr>
            <w:r w:rsidRPr="00E4462A">
              <w:rPr>
                <w:sz w:val="18"/>
                <w:szCs w:val="18"/>
              </w:rPr>
              <w:t>5</w:t>
            </w:r>
            <w:r w:rsidR="00043193" w:rsidRPr="00E4462A">
              <w:rPr>
                <w:sz w:val="18"/>
                <w:szCs w:val="18"/>
              </w:rPr>
              <w:t>, S4, S5</w:t>
            </w:r>
          </w:p>
        </w:tc>
        <w:tc>
          <w:tcPr>
            <w:tcW w:w="396" w:type="pct"/>
            <w:shd w:val="clear" w:color="auto" w:fill="auto"/>
            <w:vAlign w:val="center"/>
          </w:tcPr>
          <w:p w14:paraId="2C6372B1" w14:textId="77777777" w:rsidR="00043193" w:rsidRPr="00E4462A" w:rsidRDefault="00043193" w:rsidP="0099033B">
            <w:pPr>
              <w:jc w:val="center"/>
              <w:rPr>
                <w:sz w:val="18"/>
                <w:szCs w:val="18"/>
              </w:rPr>
            </w:pPr>
            <w:r w:rsidRPr="00E4462A">
              <w:rPr>
                <w:sz w:val="18"/>
                <w:szCs w:val="18"/>
              </w:rPr>
              <w:t>8QCI</w:t>
            </w:r>
          </w:p>
        </w:tc>
        <w:tc>
          <w:tcPr>
            <w:tcW w:w="347" w:type="pct"/>
            <w:shd w:val="clear" w:color="auto" w:fill="auto"/>
            <w:vAlign w:val="center"/>
          </w:tcPr>
          <w:p w14:paraId="7E33B3E2" w14:textId="561C66BD"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1600</w:t>
            </w:r>
          </w:p>
        </w:tc>
        <w:tc>
          <w:tcPr>
            <w:tcW w:w="300" w:type="pct"/>
            <w:shd w:val="clear" w:color="auto" w:fill="auto"/>
            <w:vAlign w:val="center"/>
          </w:tcPr>
          <w:p w14:paraId="2088DF29" w14:textId="369029CF"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250</w:t>
            </w:r>
          </w:p>
        </w:tc>
        <w:tc>
          <w:tcPr>
            <w:tcW w:w="347" w:type="pct"/>
            <w:shd w:val="clear" w:color="auto" w:fill="auto"/>
            <w:vAlign w:val="center"/>
          </w:tcPr>
          <w:p w14:paraId="3DE5FDB0" w14:textId="61E1E37F"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1250</w:t>
            </w:r>
          </w:p>
        </w:tc>
        <w:tc>
          <w:tcPr>
            <w:tcW w:w="300" w:type="pct"/>
            <w:shd w:val="clear" w:color="auto" w:fill="auto"/>
            <w:vAlign w:val="center"/>
          </w:tcPr>
          <w:p w14:paraId="3B4221F4" w14:textId="17B03D3C" w:rsidR="00043193" w:rsidRPr="00E4462A" w:rsidRDefault="00F56627" w:rsidP="0099033B">
            <w:pPr>
              <w:jc w:val="center"/>
              <w:rPr>
                <w:sz w:val="18"/>
                <w:szCs w:val="18"/>
              </w:rPr>
            </w:pPr>
            <w:r w:rsidRPr="00E4462A">
              <w:rPr>
                <w:sz w:val="18"/>
                <w:szCs w:val="18"/>
              </w:rPr>
              <w:t xml:space="preserve">  </w:t>
            </w:r>
            <w:r w:rsidR="00043193" w:rsidRPr="00E4462A">
              <w:rPr>
                <w:sz w:val="18"/>
                <w:szCs w:val="18"/>
              </w:rPr>
              <w:t>167</w:t>
            </w:r>
          </w:p>
        </w:tc>
        <w:tc>
          <w:tcPr>
            <w:tcW w:w="472" w:type="pct"/>
            <w:shd w:val="clear" w:color="auto" w:fill="auto"/>
            <w:vAlign w:val="center"/>
          </w:tcPr>
          <w:p w14:paraId="731D5F62" w14:textId="77777777" w:rsidR="00043193" w:rsidRPr="00E4462A" w:rsidRDefault="00043193" w:rsidP="0099033B">
            <w:pPr>
              <w:jc w:val="center"/>
              <w:rPr>
                <w:sz w:val="18"/>
                <w:szCs w:val="18"/>
              </w:rPr>
            </w:pPr>
            <w:r w:rsidRPr="00E4462A">
              <w:rPr>
                <w:sz w:val="18"/>
                <w:szCs w:val="18"/>
              </w:rPr>
              <w:t>QS</w:t>
            </w:r>
          </w:p>
        </w:tc>
        <w:tc>
          <w:tcPr>
            <w:tcW w:w="414" w:type="pct"/>
            <w:shd w:val="clear" w:color="auto" w:fill="auto"/>
            <w:vAlign w:val="center"/>
          </w:tcPr>
          <w:p w14:paraId="48E13953" w14:textId="77777777" w:rsidR="00043193" w:rsidRPr="00E4462A" w:rsidRDefault="00043193" w:rsidP="0099033B">
            <w:pPr>
              <w:jc w:val="center"/>
              <w:rPr>
                <w:sz w:val="18"/>
                <w:szCs w:val="18"/>
              </w:rPr>
            </w:pPr>
            <w:r w:rsidRPr="00E4462A">
              <w:rPr>
                <w:sz w:val="18"/>
                <w:szCs w:val="18"/>
              </w:rPr>
              <w:t>EM</w:t>
            </w:r>
          </w:p>
        </w:tc>
        <w:tc>
          <w:tcPr>
            <w:tcW w:w="284" w:type="pct"/>
            <w:shd w:val="clear" w:color="auto" w:fill="auto"/>
            <w:vAlign w:val="center"/>
          </w:tcPr>
          <w:p w14:paraId="0360EF69" w14:textId="77777777" w:rsidR="00043193" w:rsidRPr="00E4462A" w:rsidRDefault="00043193" w:rsidP="0099033B">
            <w:pPr>
              <w:jc w:val="center"/>
              <w:rPr>
                <w:sz w:val="18"/>
                <w:szCs w:val="18"/>
              </w:rPr>
            </w:pPr>
            <w:r w:rsidRPr="00E4462A">
              <w:rPr>
                <w:sz w:val="18"/>
                <w:szCs w:val="18"/>
              </w:rPr>
              <w:t>4</w:t>
            </w:r>
          </w:p>
        </w:tc>
        <w:tc>
          <w:tcPr>
            <w:tcW w:w="284" w:type="pct"/>
            <w:shd w:val="clear" w:color="auto" w:fill="auto"/>
            <w:vAlign w:val="center"/>
          </w:tcPr>
          <w:p w14:paraId="38CD42D9" w14:textId="77777777" w:rsidR="00043193" w:rsidRPr="00E4462A" w:rsidRDefault="00043193" w:rsidP="0099033B">
            <w:pPr>
              <w:jc w:val="center"/>
              <w:rPr>
                <w:sz w:val="18"/>
                <w:szCs w:val="18"/>
              </w:rPr>
            </w:pPr>
            <w:r w:rsidRPr="00E4462A">
              <w:rPr>
                <w:sz w:val="18"/>
                <w:szCs w:val="18"/>
              </w:rPr>
              <w:t>7.5</w:t>
            </w:r>
          </w:p>
        </w:tc>
        <w:tc>
          <w:tcPr>
            <w:tcW w:w="453" w:type="pct"/>
            <w:vAlign w:val="center"/>
          </w:tcPr>
          <w:p w14:paraId="358A3F0C" w14:textId="77777777" w:rsidR="00043193" w:rsidRPr="00E4462A" w:rsidRDefault="00043193" w:rsidP="0099033B">
            <w:pPr>
              <w:jc w:val="center"/>
              <w:rPr>
                <w:sz w:val="18"/>
                <w:szCs w:val="18"/>
              </w:rPr>
            </w:pPr>
            <w:r w:rsidRPr="00E4462A">
              <w:rPr>
                <w:sz w:val="18"/>
                <w:szCs w:val="18"/>
              </w:rPr>
              <w:t>FCE-S</w:t>
            </w:r>
          </w:p>
        </w:tc>
      </w:tr>
    </w:tbl>
    <w:p w14:paraId="352DB151" w14:textId="77777777" w:rsidR="00043193" w:rsidRPr="00E4462A" w:rsidRDefault="00043193" w:rsidP="008B22B1">
      <w:pPr>
        <w:spacing w:line="360" w:lineRule="auto"/>
        <w:jc w:val="both"/>
        <w:rPr>
          <w:sz w:val="20"/>
          <w:szCs w:val="20"/>
          <w:lang w:val="en-GB"/>
        </w:rPr>
      </w:pPr>
    </w:p>
    <w:p w14:paraId="34F8319D" w14:textId="0FFB20D4" w:rsidR="00043193" w:rsidRPr="001D0808" w:rsidRDefault="00043193" w:rsidP="008B22B1">
      <w:pPr>
        <w:spacing w:line="360" w:lineRule="auto"/>
        <w:jc w:val="both"/>
        <w:rPr>
          <w:sz w:val="20"/>
          <w:szCs w:val="20"/>
          <w:lang w:val="en-GB"/>
        </w:rPr>
      </w:pPr>
      <w:r w:rsidRPr="00E4462A">
        <w:rPr>
          <w:b/>
          <w:sz w:val="20"/>
          <w:szCs w:val="20"/>
          <w:lang w:val="en-GB"/>
        </w:rPr>
        <w:t>Table S</w:t>
      </w:r>
      <w:r w:rsidR="00F56627" w:rsidRPr="00E4462A">
        <w:rPr>
          <w:b/>
          <w:sz w:val="20"/>
          <w:szCs w:val="20"/>
          <w:lang w:val="en-GB"/>
        </w:rPr>
        <w:t>2</w:t>
      </w:r>
      <w:r w:rsidRPr="00E4462A">
        <w:rPr>
          <w:b/>
          <w:sz w:val="20"/>
          <w:szCs w:val="20"/>
          <w:lang w:val="en-GB"/>
        </w:rPr>
        <w:t xml:space="preserve">. </w:t>
      </w:r>
      <w:r w:rsidRPr="00E4462A">
        <w:rPr>
          <w:sz w:val="20"/>
          <w:szCs w:val="20"/>
          <w:lang w:val="en-GB"/>
        </w:rPr>
        <w:t xml:space="preserve">Acquisition </w:t>
      </w:r>
      <w:r w:rsidR="002B3CE9" w:rsidRPr="00E4462A">
        <w:rPr>
          <w:sz w:val="20"/>
          <w:szCs w:val="20"/>
          <w:lang w:val="en-GB"/>
        </w:rPr>
        <w:t>parameters of NMR spectra,</w:t>
      </w:r>
      <w:r w:rsidRPr="00E4462A">
        <w:rPr>
          <w:sz w:val="20"/>
          <w:szCs w:val="20"/>
          <w:lang w:val="en-GB"/>
        </w:rPr>
        <w:t xml:space="preserve"> shown according to figures. PK: probeheads used for acquisition of NMR spectra, 8QCI: cryogenic inverse geometry</w:t>
      </w:r>
      <w:r w:rsidRPr="00E4462A">
        <w:rPr>
          <w:rFonts w:hint="eastAsia"/>
          <w:sz w:val="20"/>
          <w:szCs w:val="20"/>
          <w:lang w:val="en-GB"/>
        </w:rPr>
        <w:t xml:space="preserve"> 5 mm z-gradient </w:t>
      </w:r>
      <w:r w:rsidRPr="00E4462A">
        <w:rPr>
          <w:rFonts w:hint="eastAsia"/>
          <w:sz w:val="20"/>
          <w:szCs w:val="20"/>
          <w:vertAlign w:val="superscript"/>
          <w:lang w:val="en-GB"/>
        </w:rPr>
        <w:t>1</w:t>
      </w:r>
      <w:r w:rsidRPr="00E4462A">
        <w:rPr>
          <w:rFonts w:hint="eastAsia"/>
          <w:sz w:val="20"/>
          <w:szCs w:val="20"/>
          <w:lang w:val="en-GB"/>
        </w:rPr>
        <w:t>H/</w:t>
      </w:r>
      <w:r w:rsidRPr="00E4462A">
        <w:rPr>
          <w:rFonts w:hint="eastAsia"/>
          <w:sz w:val="20"/>
          <w:szCs w:val="20"/>
          <w:vertAlign w:val="superscript"/>
          <w:lang w:val="en-GB"/>
        </w:rPr>
        <w:t>13</w:t>
      </w:r>
      <w:r w:rsidRPr="00E4462A">
        <w:rPr>
          <w:rFonts w:hint="eastAsia"/>
          <w:sz w:val="20"/>
          <w:szCs w:val="20"/>
          <w:lang w:val="en-GB"/>
        </w:rPr>
        <w:t>C/</w:t>
      </w:r>
      <w:r w:rsidRPr="00E4462A">
        <w:rPr>
          <w:rFonts w:hint="eastAsia"/>
          <w:sz w:val="20"/>
          <w:szCs w:val="20"/>
          <w:vertAlign w:val="superscript"/>
          <w:lang w:val="en-GB"/>
        </w:rPr>
        <w:t>15</w:t>
      </w:r>
      <w:r w:rsidRPr="00E4462A">
        <w:rPr>
          <w:rFonts w:hint="eastAsia"/>
          <w:sz w:val="20"/>
          <w:szCs w:val="20"/>
          <w:lang w:val="en-GB"/>
        </w:rPr>
        <w:t>N</w:t>
      </w:r>
      <w:r w:rsidRPr="00E4462A">
        <w:rPr>
          <w:sz w:val="20"/>
          <w:szCs w:val="20"/>
          <w:lang w:val="en-GB"/>
        </w:rPr>
        <w:t>/</w:t>
      </w:r>
      <w:r w:rsidRPr="00E4462A">
        <w:rPr>
          <w:sz w:val="20"/>
          <w:szCs w:val="20"/>
          <w:vertAlign w:val="superscript"/>
          <w:lang w:val="en-GB"/>
        </w:rPr>
        <w:t>31</w:t>
      </w:r>
      <w:r w:rsidRPr="00E4462A">
        <w:rPr>
          <w:sz w:val="20"/>
          <w:szCs w:val="20"/>
          <w:lang w:val="en-GB"/>
        </w:rPr>
        <w:t>P</w:t>
      </w:r>
      <w:r w:rsidRPr="00E4462A">
        <w:rPr>
          <w:rFonts w:hint="eastAsia"/>
          <w:sz w:val="20"/>
          <w:szCs w:val="20"/>
          <w:lang w:val="en-GB"/>
        </w:rPr>
        <w:t xml:space="preserve"> </w:t>
      </w:r>
      <w:r w:rsidRPr="00E4462A">
        <w:rPr>
          <w:sz w:val="20"/>
          <w:szCs w:val="20"/>
          <w:lang w:val="en-GB"/>
        </w:rPr>
        <w:t>QC</w:t>
      </w:r>
      <w:r w:rsidRPr="00E4462A">
        <w:rPr>
          <w:rFonts w:hint="eastAsia"/>
          <w:sz w:val="20"/>
          <w:szCs w:val="20"/>
          <w:lang w:val="en-GB"/>
        </w:rPr>
        <w:t>I probe</w:t>
      </w:r>
      <w:r w:rsidRPr="00E4462A">
        <w:rPr>
          <w:sz w:val="20"/>
          <w:szCs w:val="20"/>
          <w:lang w:val="en-GB"/>
        </w:rPr>
        <w:t xml:space="preserve"> (B</w:t>
      </w:r>
      <w:r w:rsidRPr="00E4462A">
        <w:rPr>
          <w:sz w:val="20"/>
          <w:szCs w:val="20"/>
          <w:vertAlign w:val="subscript"/>
          <w:lang w:val="en-GB"/>
        </w:rPr>
        <w:t>0</w:t>
      </w:r>
      <w:r w:rsidRPr="00E4462A">
        <w:rPr>
          <w:sz w:val="20"/>
          <w:szCs w:val="20"/>
          <w:lang w:val="en-GB"/>
        </w:rPr>
        <w:t xml:space="preserve"> = 18.8 T); 8QCO: cryogenic classical geometry</w:t>
      </w:r>
      <w:r w:rsidRPr="00E4462A">
        <w:rPr>
          <w:rFonts w:hint="eastAsia"/>
          <w:sz w:val="20"/>
          <w:szCs w:val="20"/>
          <w:lang w:val="en-GB"/>
        </w:rPr>
        <w:t xml:space="preserve"> </w:t>
      </w:r>
      <w:r w:rsidRPr="00E4462A">
        <w:rPr>
          <w:sz w:val="20"/>
          <w:szCs w:val="20"/>
          <w:lang w:val="en-GB"/>
        </w:rPr>
        <w:t>3</w:t>
      </w:r>
      <w:r w:rsidRPr="00E4462A">
        <w:rPr>
          <w:rFonts w:hint="eastAsia"/>
          <w:sz w:val="20"/>
          <w:szCs w:val="20"/>
          <w:lang w:val="en-GB"/>
        </w:rPr>
        <w:t xml:space="preserve"> mm z-gradient </w:t>
      </w:r>
      <w:r w:rsidRPr="00E4462A">
        <w:rPr>
          <w:rFonts w:hint="eastAsia"/>
          <w:sz w:val="20"/>
          <w:szCs w:val="20"/>
          <w:vertAlign w:val="superscript"/>
          <w:lang w:val="en-GB"/>
        </w:rPr>
        <w:t>1</w:t>
      </w:r>
      <w:r w:rsidRPr="00E4462A">
        <w:rPr>
          <w:rFonts w:hint="eastAsia"/>
          <w:sz w:val="20"/>
          <w:szCs w:val="20"/>
          <w:lang w:val="en-GB"/>
        </w:rPr>
        <w:t>H/</w:t>
      </w:r>
      <w:r w:rsidRPr="00E4462A">
        <w:rPr>
          <w:rFonts w:hint="eastAsia"/>
          <w:sz w:val="20"/>
          <w:szCs w:val="20"/>
          <w:vertAlign w:val="superscript"/>
          <w:lang w:val="en-GB"/>
        </w:rPr>
        <w:t>13</w:t>
      </w:r>
      <w:r w:rsidRPr="00E4462A">
        <w:rPr>
          <w:rFonts w:hint="eastAsia"/>
          <w:sz w:val="20"/>
          <w:szCs w:val="20"/>
          <w:lang w:val="en-GB"/>
        </w:rPr>
        <w:t>C/</w:t>
      </w:r>
      <w:r w:rsidRPr="00E4462A">
        <w:rPr>
          <w:rFonts w:hint="eastAsia"/>
          <w:sz w:val="20"/>
          <w:szCs w:val="20"/>
          <w:vertAlign w:val="superscript"/>
          <w:lang w:val="en-GB"/>
        </w:rPr>
        <w:t>15</w:t>
      </w:r>
      <w:r w:rsidRPr="00E4462A">
        <w:rPr>
          <w:rFonts w:hint="eastAsia"/>
          <w:sz w:val="20"/>
          <w:szCs w:val="20"/>
          <w:lang w:val="en-GB"/>
        </w:rPr>
        <w:t>N</w:t>
      </w:r>
      <w:r w:rsidRPr="00E4462A">
        <w:rPr>
          <w:sz w:val="20"/>
          <w:szCs w:val="20"/>
          <w:lang w:val="en-GB"/>
        </w:rPr>
        <w:t>/</w:t>
      </w:r>
      <w:r w:rsidRPr="00E4462A">
        <w:rPr>
          <w:sz w:val="20"/>
          <w:szCs w:val="20"/>
          <w:vertAlign w:val="superscript"/>
          <w:lang w:val="en-GB"/>
        </w:rPr>
        <w:t>31</w:t>
      </w:r>
      <w:r w:rsidRPr="00E4462A">
        <w:rPr>
          <w:sz w:val="20"/>
          <w:szCs w:val="20"/>
          <w:lang w:val="en-GB"/>
        </w:rPr>
        <w:t>P</w:t>
      </w:r>
      <w:r w:rsidRPr="00E4462A">
        <w:rPr>
          <w:rFonts w:hint="eastAsia"/>
          <w:sz w:val="20"/>
          <w:szCs w:val="20"/>
          <w:lang w:val="en-GB"/>
        </w:rPr>
        <w:t xml:space="preserve"> probe</w:t>
      </w:r>
      <w:r w:rsidRPr="00E4462A">
        <w:rPr>
          <w:sz w:val="20"/>
          <w:szCs w:val="20"/>
          <w:lang w:val="en-GB"/>
        </w:rPr>
        <w:t xml:space="preserve"> (B</w:t>
      </w:r>
      <w:r w:rsidRPr="00E4462A">
        <w:rPr>
          <w:sz w:val="20"/>
          <w:szCs w:val="20"/>
          <w:vertAlign w:val="subscript"/>
          <w:lang w:val="en-GB"/>
        </w:rPr>
        <w:t>0</w:t>
      </w:r>
      <w:r w:rsidRPr="00E4462A">
        <w:rPr>
          <w:sz w:val="20"/>
          <w:szCs w:val="20"/>
          <w:lang w:val="en-GB"/>
        </w:rPr>
        <w:t xml:space="preserve"> = 18.8 T); 5TXI: cryogenic inverse geometry 5 mm z-gradient </w:t>
      </w:r>
      <w:r w:rsidRPr="00E4462A">
        <w:rPr>
          <w:sz w:val="20"/>
          <w:szCs w:val="20"/>
          <w:vertAlign w:val="superscript"/>
          <w:lang w:val="en-GB"/>
        </w:rPr>
        <w:t>1</w:t>
      </w:r>
      <w:r w:rsidRPr="00E4462A">
        <w:rPr>
          <w:sz w:val="20"/>
          <w:szCs w:val="20"/>
          <w:lang w:val="en-GB"/>
        </w:rPr>
        <w:t xml:space="preserve">H, </w:t>
      </w:r>
      <w:r w:rsidRPr="00E4462A">
        <w:rPr>
          <w:sz w:val="20"/>
          <w:szCs w:val="20"/>
          <w:vertAlign w:val="superscript"/>
          <w:lang w:val="en-GB"/>
        </w:rPr>
        <w:t>13</w:t>
      </w:r>
      <w:r w:rsidRPr="00E4462A">
        <w:rPr>
          <w:sz w:val="20"/>
          <w:szCs w:val="20"/>
          <w:lang w:val="en-GB"/>
        </w:rPr>
        <w:t xml:space="preserve">C, </w:t>
      </w:r>
      <w:r w:rsidRPr="00E4462A">
        <w:rPr>
          <w:sz w:val="20"/>
          <w:szCs w:val="20"/>
          <w:vertAlign w:val="superscript"/>
          <w:lang w:val="en-GB"/>
        </w:rPr>
        <w:t>15</w:t>
      </w:r>
      <w:r w:rsidRPr="00E4462A">
        <w:rPr>
          <w:sz w:val="20"/>
          <w:szCs w:val="20"/>
          <w:lang w:val="en-GB"/>
        </w:rPr>
        <w:t>N probe (B</w:t>
      </w:r>
      <w:r w:rsidRPr="00E4462A">
        <w:rPr>
          <w:sz w:val="20"/>
          <w:szCs w:val="20"/>
          <w:vertAlign w:val="subscript"/>
          <w:lang w:val="en-GB"/>
        </w:rPr>
        <w:t>0</w:t>
      </w:r>
      <w:r w:rsidRPr="00E4462A">
        <w:rPr>
          <w:sz w:val="20"/>
          <w:szCs w:val="20"/>
          <w:lang w:val="en-GB"/>
        </w:rPr>
        <w:t xml:space="preserve"> = 11.7 T); 5D: cryogenic classical geometry 5 mm z-gradient </w:t>
      </w:r>
      <w:r w:rsidRPr="00E4462A">
        <w:rPr>
          <w:sz w:val="20"/>
          <w:szCs w:val="20"/>
          <w:vertAlign w:val="superscript"/>
          <w:lang w:val="en-GB"/>
        </w:rPr>
        <w:t>13</w:t>
      </w:r>
      <w:r w:rsidRPr="00E4462A">
        <w:rPr>
          <w:sz w:val="20"/>
          <w:szCs w:val="20"/>
          <w:lang w:val="en-GB"/>
        </w:rPr>
        <w:t xml:space="preserve">C, </w:t>
      </w:r>
      <w:r w:rsidRPr="00E4462A">
        <w:rPr>
          <w:sz w:val="20"/>
          <w:szCs w:val="20"/>
          <w:vertAlign w:val="superscript"/>
          <w:lang w:val="en-GB"/>
        </w:rPr>
        <w:t>1</w:t>
      </w:r>
      <w:r w:rsidRPr="00E4462A">
        <w:rPr>
          <w:sz w:val="20"/>
          <w:szCs w:val="20"/>
          <w:lang w:val="en-GB"/>
        </w:rPr>
        <w:t>H probe (B</w:t>
      </w:r>
      <w:r w:rsidRPr="00E4462A">
        <w:rPr>
          <w:sz w:val="20"/>
          <w:szCs w:val="20"/>
          <w:vertAlign w:val="subscript"/>
          <w:lang w:val="en-GB"/>
        </w:rPr>
        <w:t>0</w:t>
      </w:r>
      <w:r w:rsidRPr="00E4462A">
        <w:rPr>
          <w:sz w:val="20"/>
          <w:szCs w:val="20"/>
          <w:lang w:val="en-GB"/>
        </w:rPr>
        <w:t xml:space="preserve"> = 11.7 T); NS: number of scans (for 2D NMR: F2); AQ: acquisition time [ms]; D1: relaxation delay [ms]; NE: number of F1 increments in 2D NMR spectra; WDW1, WDW2: apodization functions in F1/ F2 (EM/GM: line broadening factor [Hz]; QS: shifted square sine bell; SI: sine bell); PR1, PR2: coefficients used for windowing functions WDW1, WDW2, EM/GM are given in [Hz], SI/QS derived functions indicate shift by </w:t>
      </w:r>
      <w:r w:rsidRPr="00E4462A">
        <w:rPr>
          <w:rFonts w:ascii="Symbol" w:hAnsi="Symbol"/>
          <w:sz w:val="20"/>
          <w:szCs w:val="20"/>
          <w:lang w:val="en-GB"/>
        </w:rPr>
        <w:t></w:t>
      </w:r>
      <w:r w:rsidRPr="00E4462A">
        <w:rPr>
          <w:sz w:val="20"/>
          <w:szCs w:val="20"/>
          <w:lang w:val="en-GB"/>
        </w:rPr>
        <w:t>/n.</w:t>
      </w:r>
    </w:p>
    <w:p w14:paraId="30942EED" w14:textId="77777777" w:rsidR="00043193" w:rsidRPr="001D0808" w:rsidRDefault="00043193" w:rsidP="008B22B1">
      <w:pPr>
        <w:spacing w:after="200" w:line="276" w:lineRule="auto"/>
        <w:jc w:val="both"/>
        <w:rPr>
          <w:sz w:val="20"/>
          <w:szCs w:val="20"/>
          <w:lang w:val="en-GB"/>
        </w:rPr>
      </w:pPr>
    </w:p>
    <w:p w14:paraId="3FD8FA3D" w14:textId="77777777" w:rsidR="00043193" w:rsidRPr="00224575" w:rsidRDefault="00043193" w:rsidP="008B22B1">
      <w:pPr>
        <w:jc w:val="both"/>
        <w:rPr>
          <w:sz w:val="20"/>
          <w:szCs w:val="20"/>
          <w:lang w:val="en-US"/>
        </w:rPr>
      </w:pPr>
    </w:p>
    <w:sectPr w:rsidR="00043193" w:rsidRPr="00224575" w:rsidSect="00B55AE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1785" w14:textId="77777777" w:rsidR="00FC5AF8" w:rsidRDefault="00FC5AF8" w:rsidP="002B7349">
      <w:r>
        <w:separator/>
      </w:r>
    </w:p>
  </w:endnote>
  <w:endnote w:type="continuationSeparator" w:id="0">
    <w:p w14:paraId="1A5BA45D" w14:textId="77777777" w:rsidR="00FC5AF8" w:rsidRDefault="00FC5AF8" w:rsidP="002B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dvEPSTIM">
    <w:panose1 w:val="00000000000000000000"/>
    <w:charset w:val="00"/>
    <w:family w:val="auto"/>
    <w:notTrueType/>
    <w:pitch w:val="default"/>
    <w:sig w:usb0="00000003" w:usb1="00000000" w:usb2="00000000" w:usb3="00000000" w:csb0="00000001" w:csb1="00000000"/>
  </w:font>
  <w:font w:name="AdvEPSTIM-I">
    <w:altName w:val="Arial Unicode MS"/>
    <w:panose1 w:val="00000000000000000000"/>
    <w:charset w:val="86"/>
    <w:family w:val="auto"/>
    <w:notTrueType/>
    <w:pitch w:val="default"/>
    <w:sig w:usb0="00000001" w:usb1="080E0000" w:usb2="00000010" w:usb3="00000000" w:csb0="00040000" w:csb1="00000000"/>
  </w:font>
  <w:font w:name="AdvPSSym">
    <w:altName w:val="Arial Unicode MS"/>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5532" w14:textId="77777777" w:rsidR="00FC5AF8" w:rsidRDefault="00FC5AF8" w:rsidP="004734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D5EDE" w14:textId="77777777" w:rsidR="00FC5AF8" w:rsidRDefault="00FC5AF8" w:rsidP="00B55A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4F722" w14:textId="77777777" w:rsidR="00FC5AF8" w:rsidRDefault="00FC5AF8" w:rsidP="004734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62A">
      <w:rPr>
        <w:rStyle w:val="PageNumber"/>
        <w:noProof/>
      </w:rPr>
      <w:t>1</w:t>
    </w:r>
    <w:r>
      <w:rPr>
        <w:rStyle w:val="PageNumber"/>
      </w:rPr>
      <w:fldChar w:fldCharType="end"/>
    </w:r>
  </w:p>
  <w:p w14:paraId="7A28D9B5" w14:textId="77777777" w:rsidR="00FC5AF8" w:rsidRDefault="00FC5AF8" w:rsidP="00B55A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C762" w14:textId="77777777" w:rsidR="00FC5AF8" w:rsidRDefault="00FC5AF8" w:rsidP="002B7349">
      <w:r>
        <w:separator/>
      </w:r>
    </w:p>
  </w:footnote>
  <w:footnote w:type="continuationSeparator" w:id="0">
    <w:p w14:paraId="49177D47" w14:textId="77777777" w:rsidR="00FC5AF8" w:rsidRDefault="00FC5AF8" w:rsidP="002B7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1818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DC4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64B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7C98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46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98E9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5857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28F2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94A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12B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A04E3"/>
    <w:multiLevelType w:val="hybridMultilevel"/>
    <w:tmpl w:val="696019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6A443D"/>
    <w:multiLevelType w:val="hybridMultilevel"/>
    <w:tmpl w:val="1D943016"/>
    <w:lvl w:ilvl="0" w:tplc="FC6442DA">
      <w:start w:val="5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C36990"/>
    <w:multiLevelType w:val="hybridMultilevel"/>
    <w:tmpl w:val="13D8AE8C"/>
    <w:lvl w:ilvl="0" w:tplc="5D2821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96D6F"/>
    <w:multiLevelType w:val="hybridMultilevel"/>
    <w:tmpl w:val="718C8D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E6538E"/>
    <w:multiLevelType w:val="hybridMultilevel"/>
    <w:tmpl w:val="9AD66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7B"/>
    <w:rsid w:val="000039DB"/>
    <w:rsid w:val="00004853"/>
    <w:rsid w:val="00005B77"/>
    <w:rsid w:val="000064A5"/>
    <w:rsid w:val="00007327"/>
    <w:rsid w:val="00014B76"/>
    <w:rsid w:val="00017AAB"/>
    <w:rsid w:val="00020F3D"/>
    <w:rsid w:val="0002238E"/>
    <w:rsid w:val="0003273B"/>
    <w:rsid w:val="000327A5"/>
    <w:rsid w:val="000336E4"/>
    <w:rsid w:val="00042170"/>
    <w:rsid w:val="0004314C"/>
    <w:rsid w:val="00043193"/>
    <w:rsid w:val="0004351C"/>
    <w:rsid w:val="000437F3"/>
    <w:rsid w:val="00043972"/>
    <w:rsid w:val="000460DD"/>
    <w:rsid w:val="00050A13"/>
    <w:rsid w:val="00053F9C"/>
    <w:rsid w:val="000601BE"/>
    <w:rsid w:val="00064F20"/>
    <w:rsid w:val="00067843"/>
    <w:rsid w:val="000747DF"/>
    <w:rsid w:val="00084C84"/>
    <w:rsid w:val="00093C99"/>
    <w:rsid w:val="000A1671"/>
    <w:rsid w:val="000A60A5"/>
    <w:rsid w:val="000A6970"/>
    <w:rsid w:val="000A7FD0"/>
    <w:rsid w:val="000B5725"/>
    <w:rsid w:val="000C1E5B"/>
    <w:rsid w:val="000D0A37"/>
    <w:rsid w:val="000D161D"/>
    <w:rsid w:val="000D3FE9"/>
    <w:rsid w:val="000D56E2"/>
    <w:rsid w:val="000D7268"/>
    <w:rsid w:val="000F650E"/>
    <w:rsid w:val="00104CCA"/>
    <w:rsid w:val="00104ECB"/>
    <w:rsid w:val="00111C8E"/>
    <w:rsid w:val="00112BD6"/>
    <w:rsid w:val="00117719"/>
    <w:rsid w:val="00124215"/>
    <w:rsid w:val="00132BC2"/>
    <w:rsid w:val="00143356"/>
    <w:rsid w:val="0015040E"/>
    <w:rsid w:val="00156244"/>
    <w:rsid w:val="00162316"/>
    <w:rsid w:val="00162598"/>
    <w:rsid w:val="0016303F"/>
    <w:rsid w:val="001636FF"/>
    <w:rsid w:val="001726EF"/>
    <w:rsid w:val="00182B98"/>
    <w:rsid w:val="0018785D"/>
    <w:rsid w:val="0019030E"/>
    <w:rsid w:val="00197FB5"/>
    <w:rsid w:val="001A0C8A"/>
    <w:rsid w:val="001A7415"/>
    <w:rsid w:val="001B002B"/>
    <w:rsid w:val="001B17C8"/>
    <w:rsid w:val="001C01CA"/>
    <w:rsid w:val="001C4C9A"/>
    <w:rsid w:val="001D57C1"/>
    <w:rsid w:val="001D597E"/>
    <w:rsid w:val="001E4BDA"/>
    <w:rsid w:val="001F0777"/>
    <w:rsid w:val="0020460E"/>
    <w:rsid w:val="00204921"/>
    <w:rsid w:val="00207B7F"/>
    <w:rsid w:val="00214099"/>
    <w:rsid w:val="0022427D"/>
    <w:rsid w:val="002269BD"/>
    <w:rsid w:val="00235B6B"/>
    <w:rsid w:val="00240586"/>
    <w:rsid w:val="0024143B"/>
    <w:rsid w:val="00242FFF"/>
    <w:rsid w:val="0024314D"/>
    <w:rsid w:val="00247EA4"/>
    <w:rsid w:val="00250ECC"/>
    <w:rsid w:val="00251E21"/>
    <w:rsid w:val="00253743"/>
    <w:rsid w:val="002703F4"/>
    <w:rsid w:val="00271478"/>
    <w:rsid w:val="00272562"/>
    <w:rsid w:val="00273EE1"/>
    <w:rsid w:val="0028318A"/>
    <w:rsid w:val="00283F44"/>
    <w:rsid w:val="00287866"/>
    <w:rsid w:val="00292E57"/>
    <w:rsid w:val="002A3490"/>
    <w:rsid w:val="002A7035"/>
    <w:rsid w:val="002A74C0"/>
    <w:rsid w:val="002B00B4"/>
    <w:rsid w:val="002B3CE9"/>
    <w:rsid w:val="002B7349"/>
    <w:rsid w:val="002C09E0"/>
    <w:rsid w:val="002C6948"/>
    <w:rsid w:val="002D2429"/>
    <w:rsid w:val="002D3DAB"/>
    <w:rsid w:val="002E50C6"/>
    <w:rsid w:val="002E7B2C"/>
    <w:rsid w:val="002F14BE"/>
    <w:rsid w:val="002F2678"/>
    <w:rsid w:val="002F5290"/>
    <w:rsid w:val="002F5729"/>
    <w:rsid w:val="00303125"/>
    <w:rsid w:val="00306D75"/>
    <w:rsid w:val="003138B6"/>
    <w:rsid w:val="00313A1E"/>
    <w:rsid w:val="00316058"/>
    <w:rsid w:val="0031608F"/>
    <w:rsid w:val="003241A4"/>
    <w:rsid w:val="00324B96"/>
    <w:rsid w:val="00330E26"/>
    <w:rsid w:val="00331408"/>
    <w:rsid w:val="00332F50"/>
    <w:rsid w:val="003378D4"/>
    <w:rsid w:val="00342526"/>
    <w:rsid w:val="003473D6"/>
    <w:rsid w:val="00351013"/>
    <w:rsid w:val="003526E2"/>
    <w:rsid w:val="0035536B"/>
    <w:rsid w:val="00360944"/>
    <w:rsid w:val="00360FEA"/>
    <w:rsid w:val="003623AE"/>
    <w:rsid w:val="0036506E"/>
    <w:rsid w:val="00372E4F"/>
    <w:rsid w:val="0037394C"/>
    <w:rsid w:val="00375872"/>
    <w:rsid w:val="00376C7A"/>
    <w:rsid w:val="003845AF"/>
    <w:rsid w:val="003A13B9"/>
    <w:rsid w:val="003A426C"/>
    <w:rsid w:val="003A5E26"/>
    <w:rsid w:val="003A675D"/>
    <w:rsid w:val="003A6F2B"/>
    <w:rsid w:val="003A74DE"/>
    <w:rsid w:val="003D10BB"/>
    <w:rsid w:val="003D39C5"/>
    <w:rsid w:val="003D4364"/>
    <w:rsid w:val="003D6FAB"/>
    <w:rsid w:val="003E439B"/>
    <w:rsid w:val="003E5A8C"/>
    <w:rsid w:val="003F2841"/>
    <w:rsid w:val="00403DF2"/>
    <w:rsid w:val="00404C06"/>
    <w:rsid w:val="00404F01"/>
    <w:rsid w:val="00406C97"/>
    <w:rsid w:val="00415069"/>
    <w:rsid w:val="004266D6"/>
    <w:rsid w:val="00432987"/>
    <w:rsid w:val="004333E9"/>
    <w:rsid w:val="00441F1D"/>
    <w:rsid w:val="00455703"/>
    <w:rsid w:val="00460F26"/>
    <w:rsid w:val="004631B3"/>
    <w:rsid w:val="0046438A"/>
    <w:rsid w:val="00464475"/>
    <w:rsid w:val="00470C54"/>
    <w:rsid w:val="00473439"/>
    <w:rsid w:val="00475149"/>
    <w:rsid w:val="00475E97"/>
    <w:rsid w:val="00483524"/>
    <w:rsid w:val="00483CA0"/>
    <w:rsid w:val="004A3994"/>
    <w:rsid w:val="004A521C"/>
    <w:rsid w:val="004B01B8"/>
    <w:rsid w:val="004B4F49"/>
    <w:rsid w:val="004B67A6"/>
    <w:rsid w:val="004C2400"/>
    <w:rsid w:val="004D0721"/>
    <w:rsid w:val="004D68CD"/>
    <w:rsid w:val="004D757B"/>
    <w:rsid w:val="004E398D"/>
    <w:rsid w:val="004E4FA3"/>
    <w:rsid w:val="004F08AC"/>
    <w:rsid w:val="004F0D05"/>
    <w:rsid w:val="00504139"/>
    <w:rsid w:val="00504B99"/>
    <w:rsid w:val="005070A5"/>
    <w:rsid w:val="005115C5"/>
    <w:rsid w:val="00513DC4"/>
    <w:rsid w:val="00515DE0"/>
    <w:rsid w:val="0052701C"/>
    <w:rsid w:val="005272BF"/>
    <w:rsid w:val="00530C9D"/>
    <w:rsid w:val="005330B9"/>
    <w:rsid w:val="0053344B"/>
    <w:rsid w:val="00537FEB"/>
    <w:rsid w:val="005578F7"/>
    <w:rsid w:val="00563445"/>
    <w:rsid w:val="005668A0"/>
    <w:rsid w:val="00567646"/>
    <w:rsid w:val="00575152"/>
    <w:rsid w:val="0059577E"/>
    <w:rsid w:val="0059618D"/>
    <w:rsid w:val="005A266A"/>
    <w:rsid w:val="005A7FFB"/>
    <w:rsid w:val="005B7640"/>
    <w:rsid w:val="005C3E1F"/>
    <w:rsid w:val="005C598F"/>
    <w:rsid w:val="005E0D21"/>
    <w:rsid w:val="005E3A5F"/>
    <w:rsid w:val="005F30CA"/>
    <w:rsid w:val="005F7C47"/>
    <w:rsid w:val="00600BAC"/>
    <w:rsid w:val="0060441F"/>
    <w:rsid w:val="00607FD1"/>
    <w:rsid w:val="00617F79"/>
    <w:rsid w:val="006208A1"/>
    <w:rsid w:val="00622029"/>
    <w:rsid w:val="00631EA0"/>
    <w:rsid w:val="00634F47"/>
    <w:rsid w:val="0064025F"/>
    <w:rsid w:val="00643179"/>
    <w:rsid w:val="00646699"/>
    <w:rsid w:val="00646B23"/>
    <w:rsid w:val="0065054E"/>
    <w:rsid w:val="0065385C"/>
    <w:rsid w:val="00662D79"/>
    <w:rsid w:val="00667652"/>
    <w:rsid w:val="006723BB"/>
    <w:rsid w:val="00672D93"/>
    <w:rsid w:val="00675873"/>
    <w:rsid w:val="0069428C"/>
    <w:rsid w:val="006A10F5"/>
    <w:rsid w:val="006A3E8A"/>
    <w:rsid w:val="006A40B0"/>
    <w:rsid w:val="006A59F5"/>
    <w:rsid w:val="006A6255"/>
    <w:rsid w:val="006B0639"/>
    <w:rsid w:val="006C270D"/>
    <w:rsid w:val="006C45A4"/>
    <w:rsid w:val="006C688D"/>
    <w:rsid w:val="006E0B8E"/>
    <w:rsid w:val="006E674F"/>
    <w:rsid w:val="006F0C36"/>
    <w:rsid w:val="006F1EAA"/>
    <w:rsid w:val="006F391D"/>
    <w:rsid w:val="006F3DF2"/>
    <w:rsid w:val="006F7EE6"/>
    <w:rsid w:val="00707A92"/>
    <w:rsid w:val="00714C16"/>
    <w:rsid w:val="00714C27"/>
    <w:rsid w:val="00714EB4"/>
    <w:rsid w:val="0072072A"/>
    <w:rsid w:val="00723587"/>
    <w:rsid w:val="0072391D"/>
    <w:rsid w:val="00723937"/>
    <w:rsid w:val="00725D05"/>
    <w:rsid w:val="007278C4"/>
    <w:rsid w:val="00735B17"/>
    <w:rsid w:val="0073640C"/>
    <w:rsid w:val="00745F66"/>
    <w:rsid w:val="00750264"/>
    <w:rsid w:val="00757D86"/>
    <w:rsid w:val="007611E4"/>
    <w:rsid w:val="00770A5E"/>
    <w:rsid w:val="00770FED"/>
    <w:rsid w:val="007735AF"/>
    <w:rsid w:val="00773CAE"/>
    <w:rsid w:val="00780978"/>
    <w:rsid w:val="00781CD8"/>
    <w:rsid w:val="0078242C"/>
    <w:rsid w:val="00784A24"/>
    <w:rsid w:val="00784CEE"/>
    <w:rsid w:val="00786B50"/>
    <w:rsid w:val="00792A6F"/>
    <w:rsid w:val="00795B95"/>
    <w:rsid w:val="007A4ABD"/>
    <w:rsid w:val="007A6FE3"/>
    <w:rsid w:val="007B664B"/>
    <w:rsid w:val="007B7B65"/>
    <w:rsid w:val="007C453C"/>
    <w:rsid w:val="007C4DC7"/>
    <w:rsid w:val="007D2C53"/>
    <w:rsid w:val="007E3BED"/>
    <w:rsid w:val="007F038C"/>
    <w:rsid w:val="007F3FB0"/>
    <w:rsid w:val="0080365E"/>
    <w:rsid w:val="008103D9"/>
    <w:rsid w:val="008103E3"/>
    <w:rsid w:val="00812C27"/>
    <w:rsid w:val="008130CA"/>
    <w:rsid w:val="00827FB5"/>
    <w:rsid w:val="0083354A"/>
    <w:rsid w:val="00834F8D"/>
    <w:rsid w:val="0083530A"/>
    <w:rsid w:val="008445E3"/>
    <w:rsid w:val="0085030A"/>
    <w:rsid w:val="00866B4D"/>
    <w:rsid w:val="008676D5"/>
    <w:rsid w:val="00871A4F"/>
    <w:rsid w:val="00873EB5"/>
    <w:rsid w:val="008764C0"/>
    <w:rsid w:val="008764DF"/>
    <w:rsid w:val="00876DD1"/>
    <w:rsid w:val="0089547B"/>
    <w:rsid w:val="008A66E0"/>
    <w:rsid w:val="008A6C6F"/>
    <w:rsid w:val="008B13AB"/>
    <w:rsid w:val="008B22B1"/>
    <w:rsid w:val="008B5FB1"/>
    <w:rsid w:val="008B6D45"/>
    <w:rsid w:val="008D7C25"/>
    <w:rsid w:val="008E56F4"/>
    <w:rsid w:val="008F3116"/>
    <w:rsid w:val="008F7F48"/>
    <w:rsid w:val="009054DD"/>
    <w:rsid w:val="00910DE0"/>
    <w:rsid w:val="0091392C"/>
    <w:rsid w:val="009149B8"/>
    <w:rsid w:val="0091500F"/>
    <w:rsid w:val="00915909"/>
    <w:rsid w:val="00917D1C"/>
    <w:rsid w:val="009228FC"/>
    <w:rsid w:val="00935972"/>
    <w:rsid w:val="00945953"/>
    <w:rsid w:val="009602F6"/>
    <w:rsid w:val="00962D12"/>
    <w:rsid w:val="00962D25"/>
    <w:rsid w:val="009639E2"/>
    <w:rsid w:val="0096694F"/>
    <w:rsid w:val="0097094F"/>
    <w:rsid w:val="0097430E"/>
    <w:rsid w:val="00985701"/>
    <w:rsid w:val="00986B47"/>
    <w:rsid w:val="0099033B"/>
    <w:rsid w:val="00990FDC"/>
    <w:rsid w:val="00992ECD"/>
    <w:rsid w:val="009932E1"/>
    <w:rsid w:val="00995B49"/>
    <w:rsid w:val="009D61A0"/>
    <w:rsid w:val="009E25BA"/>
    <w:rsid w:val="00A02737"/>
    <w:rsid w:val="00A13D94"/>
    <w:rsid w:val="00A23144"/>
    <w:rsid w:val="00A304E8"/>
    <w:rsid w:val="00A4133B"/>
    <w:rsid w:val="00A4242F"/>
    <w:rsid w:val="00A52EC7"/>
    <w:rsid w:val="00A60A5E"/>
    <w:rsid w:val="00A706D7"/>
    <w:rsid w:val="00A7627F"/>
    <w:rsid w:val="00A762C9"/>
    <w:rsid w:val="00A8087D"/>
    <w:rsid w:val="00A819CE"/>
    <w:rsid w:val="00A827BA"/>
    <w:rsid w:val="00A83098"/>
    <w:rsid w:val="00A85D98"/>
    <w:rsid w:val="00A862A2"/>
    <w:rsid w:val="00A90A74"/>
    <w:rsid w:val="00AA1906"/>
    <w:rsid w:val="00AA3613"/>
    <w:rsid w:val="00AA36CE"/>
    <w:rsid w:val="00AA40F2"/>
    <w:rsid w:val="00AA64F7"/>
    <w:rsid w:val="00AB35E1"/>
    <w:rsid w:val="00AB79EB"/>
    <w:rsid w:val="00AC0E11"/>
    <w:rsid w:val="00AC314C"/>
    <w:rsid w:val="00AD5848"/>
    <w:rsid w:val="00AD699F"/>
    <w:rsid w:val="00AE064A"/>
    <w:rsid w:val="00AE2C75"/>
    <w:rsid w:val="00AE6981"/>
    <w:rsid w:val="00B02715"/>
    <w:rsid w:val="00B06278"/>
    <w:rsid w:val="00B12A87"/>
    <w:rsid w:val="00B22F54"/>
    <w:rsid w:val="00B23D57"/>
    <w:rsid w:val="00B24611"/>
    <w:rsid w:val="00B258B6"/>
    <w:rsid w:val="00B30CAA"/>
    <w:rsid w:val="00B32203"/>
    <w:rsid w:val="00B5158C"/>
    <w:rsid w:val="00B55AEE"/>
    <w:rsid w:val="00B5768A"/>
    <w:rsid w:val="00B57D1B"/>
    <w:rsid w:val="00B604A3"/>
    <w:rsid w:val="00B70FA1"/>
    <w:rsid w:val="00B74584"/>
    <w:rsid w:val="00B828AB"/>
    <w:rsid w:val="00B926B6"/>
    <w:rsid w:val="00B95D49"/>
    <w:rsid w:val="00BA0C5F"/>
    <w:rsid w:val="00BA2900"/>
    <w:rsid w:val="00BA2D2C"/>
    <w:rsid w:val="00BB567B"/>
    <w:rsid w:val="00BC31D5"/>
    <w:rsid w:val="00BD382D"/>
    <w:rsid w:val="00BE4DA4"/>
    <w:rsid w:val="00BE5FD1"/>
    <w:rsid w:val="00BF0603"/>
    <w:rsid w:val="00C05B07"/>
    <w:rsid w:val="00C06EB5"/>
    <w:rsid w:val="00C1371A"/>
    <w:rsid w:val="00C22E78"/>
    <w:rsid w:val="00C23C0F"/>
    <w:rsid w:val="00C25C06"/>
    <w:rsid w:val="00C3791A"/>
    <w:rsid w:val="00C47D0E"/>
    <w:rsid w:val="00C574C6"/>
    <w:rsid w:val="00C6616D"/>
    <w:rsid w:val="00C71068"/>
    <w:rsid w:val="00C71B92"/>
    <w:rsid w:val="00C71D3C"/>
    <w:rsid w:val="00C83040"/>
    <w:rsid w:val="00CA032D"/>
    <w:rsid w:val="00CB0EBC"/>
    <w:rsid w:val="00CB4063"/>
    <w:rsid w:val="00CC2687"/>
    <w:rsid w:val="00CC3C27"/>
    <w:rsid w:val="00CD15C9"/>
    <w:rsid w:val="00CD2547"/>
    <w:rsid w:val="00CD26F1"/>
    <w:rsid w:val="00CD30BE"/>
    <w:rsid w:val="00CD31AD"/>
    <w:rsid w:val="00CE39F6"/>
    <w:rsid w:val="00CE4A07"/>
    <w:rsid w:val="00CE644D"/>
    <w:rsid w:val="00CE7B4F"/>
    <w:rsid w:val="00CF793E"/>
    <w:rsid w:val="00D07F45"/>
    <w:rsid w:val="00D11DAF"/>
    <w:rsid w:val="00D21B52"/>
    <w:rsid w:val="00D24F3A"/>
    <w:rsid w:val="00D26825"/>
    <w:rsid w:val="00D43997"/>
    <w:rsid w:val="00D45A60"/>
    <w:rsid w:val="00D52123"/>
    <w:rsid w:val="00D52B8F"/>
    <w:rsid w:val="00D64375"/>
    <w:rsid w:val="00D66FD2"/>
    <w:rsid w:val="00D70105"/>
    <w:rsid w:val="00D70D0A"/>
    <w:rsid w:val="00D72B41"/>
    <w:rsid w:val="00D87045"/>
    <w:rsid w:val="00D93B0B"/>
    <w:rsid w:val="00D95104"/>
    <w:rsid w:val="00D96A24"/>
    <w:rsid w:val="00D97FDD"/>
    <w:rsid w:val="00DA347A"/>
    <w:rsid w:val="00DB3576"/>
    <w:rsid w:val="00DB4D25"/>
    <w:rsid w:val="00DD038F"/>
    <w:rsid w:val="00DD2D50"/>
    <w:rsid w:val="00DD7F2B"/>
    <w:rsid w:val="00DE1ECB"/>
    <w:rsid w:val="00DE6AAF"/>
    <w:rsid w:val="00DF34A4"/>
    <w:rsid w:val="00E06AC1"/>
    <w:rsid w:val="00E11E42"/>
    <w:rsid w:val="00E13A44"/>
    <w:rsid w:val="00E16593"/>
    <w:rsid w:val="00E16D1C"/>
    <w:rsid w:val="00E20101"/>
    <w:rsid w:val="00E24E82"/>
    <w:rsid w:val="00E279E6"/>
    <w:rsid w:val="00E30E26"/>
    <w:rsid w:val="00E37ABE"/>
    <w:rsid w:val="00E43B8E"/>
    <w:rsid w:val="00E4462A"/>
    <w:rsid w:val="00E4489D"/>
    <w:rsid w:val="00E44CF9"/>
    <w:rsid w:val="00E55AFA"/>
    <w:rsid w:val="00E6161A"/>
    <w:rsid w:val="00E632D8"/>
    <w:rsid w:val="00E704A8"/>
    <w:rsid w:val="00E729E3"/>
    <w:rsid w:val="00E74E72"/>
    <w:rsid w:val="00E80E30"/>
    <w:rsid w:val="00E8778A"/>
    <w:rsid w:val="00E91615"/>
    <w:rsid w:val="00E924A9"/>
    <w:rsid w:val="00E950B6"/>
    <w:rsid w:val="00EA1358"/>
    <w:rsid w:val="00EA3CBC"/>
    <w:rsid w:val="00EA4DA8"/>
    <w:rsid w:val="00EA7EDC"/>
    <w:rsid w:val="00EB079C"/>
    <w:rsid w:val="00EB09DA"/>
    <w:rsid w:val="00EB19A5"/>
    <w:rsid w:val="00EB5AC8"/>
    <w:rsid w:val="00EC643F"/>
    <w:rsid w:val="00ED77C0"/>
    <w:rsid w:val="00EE0648"/>
    <w:rsid w:val="00EE66C6"/>
    <w:rsid w:val="00EF44B5"/>
    <w:rsid w:val="00F0266A"/>
    <w:rsid w:val="00F0707C"/>
    <w:rsid w:val="00F12B7F"/>
    <w:rsid w:val="00F13E41"/>
    <w:rsid w:val="00F24229"/>
    <w:rsid w:val="00F2504E"/>
    <w:rsid w:val="00F25D4B"/>
    <w:rsid w:val="00F339A3"/>
    <w:rsid w:val="00F33DFB"/>
    <w:rsid w:val="00F3486B"/>
    <w:rsid w:val="00F360A7"/>
    <w:rsid w:val="00F443B5"/>
    <w:rsid w:val="00F53DF8"/>
    <w:rsid w:val="00F54E59"/>
    <w:rsid w:val="00F554FA"/>
    <w:rsid w:val="00F56627"/>
    <w:rsid w:val="00F56F89"/>
    <w:rsid w:val="00F7038D"/>
    <w:rsid w:val="00F80969"/>
    <w:rsid w:val="00F81BAF"/>
    <w:rsid w:val="00F86E12"/>
    <w:rsid w:val="00F96AB4"/>
    <w:rsid w:val="00FB4FD3"/>
    <w:rsid w:val="00FB66B8"/>
    <w:rsid w:val="00FB771F"/>
    <w:rsid w:val="00FC5AF8"/>
    <w:rsid w:val="00FE2C9E"/>
    <w:rsid w:val="00FE6C43"/>
    <w:rsid w:val="00FE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03316"/>
  <w15:docId w15:val="{FDE3E6CA-B860-43ED-B4E8-AAD59F89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38F"/>
    <w:pPr>
      <w:spacing w:after="0" w:line="240" w:lineRule="auto"/>
    </w:pPr>
    <w:rPr>
      <w:rFonts w:ascii="Times New Roman" w:eastAsia="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D757B"/>
    <w:rPr>
      <w:sz w:val="16"/>
      <w:szCs w:val="16"/>
    </w:rPr>
  </w:style>
  <w:style w:type="paragraph" w:styleId="CommentText">
    <w:name w:val="annotation text"/>
    <w:basedOn w:val="Normal"/>
    <w:link w:val="CommentTextChar"/>
    <w:rsid w:val="004D757B"/>
    <w:rPr>
      <w:sz w:val="20"/>
      <w:szCs w:val="20"/>
    </w:rPr>
  </w:style>
  <w:style w:type="character" w:customStyle="1" w:styleId="CommentTextChar">
    <w:name w:val="Comment Text Char"/>
    <w:basedOn w:val="DefaultParagraphFont"/>
    <w:link w:val="CommentText"/>
    <w:rsid w:val="004D757B"/>
    <w:rPr>
      <w:rFonts w:ascii="Times New Roman" w:eastAsia="Times New Roman" w:hAnsi="Times New Roman" w:cs="Times New Roman"/>
      <w:sz w:val="20"/>
      <w:szCs w:val="20"/>
      <w:lang w:val="de-DE"/>
    </w:rPr>
  </w:style>
  <w:style w:type="paragraph" w:styleId="BalloonText">
    <w:name w:val="Balloon Text"/>
    <w:basedOn w:val="Normal"/>
    <w:link w:val="BalloonTextChar"/>
    <w:uiPriority w:val="99"/>
    <w:semiHidden/>
    <w:unhideWhenUsed/>
    <w:rsid w:val="004D757B"/>
    <w:rPr>
      <w:rFonts w:ascii="Tahoma" w:hAnsi="Tahoma" w:cs="Tahoma"/>
      <w:sz w:val="16"/>
      <w:szCs w:val="16"/>
    </w:rPr>
  </w:style>
  <w:style w:type="character" w:customStyle="1" w:styleId="BalloonTextChar">
    <w:name w:val="Balloon Text Char"/>
    <w:basedOn w:val="DefaultParagraphFont"/>
    <w:link w:val="BalloonText"/>
    <w:uiPriority w:val="99"/>
    <w:semiHidden/>
    <w:rsid w:val="004D757B"/>
    <w:rPr>
      <w:rFonts w:ascii="Tahoma" w:eastAsia="Times New Roman" w:hAnsi="Tahoma" w:cs="Tahoma"/>
      <w:sz w:val="16"/>
      <w:szCs w:val="16"/>
      <w:lang w:val="de-DE"/>
    </w:rPr>
  </w:style>
  <w:style w:type="paragraph" w:styleId="CommentSubject">
    <w:name w:val="annotation subject"/>
    <w:basedOn w:val="CommentText"/>
    <w:next w:val="CommentText"/>
    <w:link w:val="CommentSubjectChar"/>
    <w:uiPriority w:val="99"/>
    <w:semiHidden/>
    <w:unhideWhenUsed/>
    <w:rsid w:val="00053F9C"/>
    <w:rPr>
      <w:b/>
      <w:bCs/>
    </w:rPr>
  </w:style>
  <w:style w:type="character" w:customStyle="1" w:styleId="CommentSubjectChar">
    <w:name w:val="Comment Subject Char"/>
    <w:basedOn w:val="CommentTextChar"/>
    <w:link w:val="CommentSubject"/>
    <w:uiPriority w:val="99"/>
    <w:semiHidden/>
    <w:rsid w:val="00053F9C"/>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2B7349"/>
    <w:pPr>
      <w:tabs>
        <w:tab w:val="center" w:pos="4513"/>
        <w:tab w:val="right" w:pos="9026"/>
      </w:tabs>
    </w:pPr>
  </w:style>
  <w:style w:type="character" w:customStyle="1" w:styleId="HeaderChar">
    <w:name w:val="Header Char"/>
    <w:basedOn w:val="DefaultParagraphFont"/>
    <w:link w:val="Header"/>
    <w:uiPriority w:val="99"/>
    <w:rsid w:val="002B7349"/>
    <w:rPr>
      <w:rFonts w:ascii="Times New Roman" w:eastAsia="Times New Roman" w:hAnsi="Times New Roman" w:cs="Times New Roman"/>
      <w:sz w:val="24"/>
      <w:szCs w:val="24"/>
      <w:lang w:val="de-DE"/>
    </w:rPr>
  </w:style>
  <w:style w:type="paragraph" w:styleId="Footer">
    <w:name w:val="footer"/>
    <w:basedOn w:val="Normal"/>
    <w:link w:val="FooterChar"/>
    <w:uiPriority w:val="99"/>
    <w:unhideWhenUsed/>
    <w:rsid w:val="002B7349"/>
    <w:pPr>
      <w:tabs>
        <w:tab w:val="center" w:pos="4513"/>
        <w:tab w:val="right" w:pos="9026"/>
      </w:tabs>
    </w:pPr>
  </w:style>
  <w:style w:type="character" w:customStyle="1" w:styleId="FooterChar">
    <w:name w:val="Footer Char"/>
    <w:basedOn w:val="DefaultParagraphFont"/>
    <w:link w:val="Footer"/>
    <w:uiPriority w:val="99"/>
    <w:rsid w:val="002B7349"/>
    <w:rPr>
      <w:rFonts w:ascii="Times New Roman" w:eastAsia="Times New Roman" w:hAnsi="Times New Roman" w:cs="Times New Roman"/>
      <w:sz w:val="24"/>
      <w:szCs w:val="24"/>
      <w:lang w:val="de-DE"/>
    </w:rPr>
  </w:style>
  <w:style w:type="character" w:styleId="LineNumber">
    <w:name w:val="line number"/>
    <w:basedOn w:val="DefaultParagraphFont"/>
    <w:uiPriority w:val="99"/>
    <w:unhideWhenUsed/>
    <w:rsid w:val="00DD038F"/>
    <w:rPr>
      <w:rFonts w:asciiTheme="minorHAnsi" w:hAnsiTheme="minorHAnsi"/>
      <w:sz w:val="16"/>
    </w:rPr>
  </w:style>
  <w:style w:type="paragraph" w:customStyle="1" w:styleId="BCAuthorAddress">
    <w:name w:val="BC_Author_Address"/>
    <w:basedOn w:val="Normal"/>
    <w:next w:val="Normal"/>
    <w:rsid w:val="00043193"/>
    <w:pPr>
      <w:spacing w:after="240" w:line="480" w:lineRule="auto"/>
      <w:jc w:val="center"/>
    </w:pPr>
    <w:rPr>
      <w:rFonts w:ascii="Times" w:eastAsia="SimSun" w:hAnsi="Times"/>
      <w:szCs w:val="20"/>
      <w:lang w:val="en-US"/>
    </w:rPr>
  </w:style>
  <w:style w:type="character" w:styleId="Hyperlink">
    <w:name w:val="Hyperlink"/>
    <w:uiPriority w:val="99"/>
    <w:unhideWhenUsed/>
    <w:rsid w:val="00043193"/>
    <w:rPr>
      <w:color w:val="0000FF"/>
      <w:u w:val="single"/>
    </w:rPr>
  </w:style>
  <w:style w:type="paragraph" w:customStyle="1" w:styleId="ColorfulList-Accent11">
    <w:name w:val="Colorful List - Accent 11"/>
    <w:basedOn w:val="Normal"/>
    <w:uiPriority w:val="99"/>
    <w:qFormat/>
    <w:rsid w:val="00043193"/>
    <w:pPr>
      <w:spacing w:after="200" w:line="276" w:lineRule="auto"/>
      <w:ind w:left="720"/>
    </w:pPr>
    <w:rPr>
      <w:rFonts w:ascii="Calibri" w:eastAsia="MS ??" w:hAnsi="Calibri" w:cs="Calibri"/>
      <w:sz w:val="22"/>
      <w:szCs w:val="22"/>
      <w:lang w:val="en-US"/>
    </w:rPr>
  </w:style>
  <w:style w:type="paragraph" w:styleId="NormalWeb">
    <w:name w:val="Normal (Web)"/>
    <w:basedOn w:val="Normal"/>
    <w:uiPriority w:val="99"/>
    <w:semiHidden/>
    <w:unhideWhenUsed/>
    <w:rsid w:val="00043193"/>
    <w:pPr>
      <w:spacing w:before="100" w:beforeAutospacing="1" w:after="100" w:afterAutospacing="1"/>
    </w:pPr>
    <w:rPr>
      <w:lang w:val="en-US"/>
    </w:rPr>
  </w:style>
  <w:style w:type="table" w:styleId="TableGrid">
    <w:name w:val="Table Grid"/>
    <w:basedOn w:val="TableNormal"/>
    <w:uiPriority w:val="59"/>
    <w:rsid w:val="00043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193"/>
    <w:pPr>
      <w:ind w:left="720"/>
      <w:contextualSpacing/>
    </w:pPr>
  </w:style>
  <w:style w:type="character" w:customStyle="1" w:styleId="apple-style-span">
    <w:name w:val="apple-style-span"/>
    <w:rsid w:val="0024314D"/>
  </w:style>
  <w:style w:type="character" w:styleId="Strong">
    <w:name w:val="Strong"/>
    <w:uiPriority w:val="22"/>
    <w:qFormat/>
    <w:rsid w:val="0024314D"/>
    <w:rPr>
      <w:b/>
      <w:bCs/>
    </w:rPr>
  </w:style>
  <w:style w:type="character" w:styleId="Emphasis">
    <w:name w:val="Emphasis"/>
    <w:basedOn w:val="DefaultParagraphFont"/>
    <w:uiPriority w:val="20"/>
    <w:qFormat/>
    <w:rsid w:val="00600BAC"/>
    <w:rPr>
      <w:i/>
      <w:iCs/>
    </w:rPr>
  </w:style>
  <w:style w:type="character" w:styleId="PageNumber">
    <w:name w:val="page number"/>
    <w:basedOn w:val="DefaultParagraphFont"/>
    <w:uiPriority w:val="99"/>
    <w:semiHidden/>
    <w:unhideWhenUsed/>
    <w:rsid w:val="0016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188227">
      <w:bodyDiv w:val="1"/>
      <w:marLeft w:val="0"/>
      <w:marRight w:val="0"/>
      <w:marTop w:val="0"/>
      <w:marBottom w:val="0"/>
      <w:divBdr>
        <w:top w:val="none" w:sz="0" w:space="0" w:color="auto"/>
        <w:left w:val="none" w:sz="0" w:space="0" w:color="auto"/>
        <w:bottom w:val="none" w:sz="0" w:space="0" w:color="auto"/>
        <w:right w:val="none" w:sz="0" w:space="0" w:color="auto"/>
      </w:divBdr>
    </w:div>
    <w:div w:id="1189173088">
      <w:bodyDiv w:val="1"/>
      <w:marLeft w:val="0"/>
      <w:marRight w:val="0"/>
      <w:marTop w:val="0"/>
      <w:marBottom w:val="0"/>
      <w:divBdr>
        <w:top w:val="none" w:sz="0" w:space="0" w:color="auto"/>
        <w:left w:val="none" w:sz="0" w:space="0" w:color="auto"/>
        <w:bottom w:val="none" w:sz="0" w:space="0" w:color="auto"/>
        <w:right w:val="none" w:sz="0" w:space="0" w:color="auto"/>
      </w:divBdr>
    </w:div>
    <w:div w:id="16867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ffer@f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r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756A-3B48-4AB8-A2FB-4E1C6FA9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16080</Words>
  <Characters>91662</Characters>
  <Application>Microsoft Office Word</Application>
  <DocSecurity>0</DocSecurity>
  <Lines>763</Lines>
  <Paragraphs>215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dc:creator>
  <cp:lastModifiedBy>rudolf</cp:lastModifiedBy>
  <cp:revision>2</cp:revision>
  <cp:lastPrinted>2016-02-15T20:41:00Z</cp:lastPrinted>
  <dcterms:created xsi:type="dcterms:W3CDTF">2016-02-16T13:29:00Z</dcterms:created>
  <dcterms:modified xsi:type="dcterms:W3CDTF">2016-02-16T13:29:00Z</dcterms:modified>
</cp:coreProperties>
</file>