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874C3" w14:textId="77777777" w:rsidR="00E018CD" w:rsidRPr="006A626F" w:rsidRDefault="007112B6" w:rsidP="00C57495">
      <w:pPr>
        <w:pStyle w:val="berschrift1"/>
        <w:suppressLineNumbers/>
        <w:spacing w:line="360" w:lineRule="auto"/>
        <w:rPr>
          <w:rFonts w:ascii="Arial" w:hAnsi="Arial" w:cs="Arial"/>
          <w:sz w:val="20"/>
          <w:szCs w:val="20"/>
        </w:rPr>
      </w:pPr>
      <w:r w:rsidRPr="006A626F">
        <w:rPr>
          <w:rFonts w:ascii="Arial" w:hAnsi="Arial" w:cs="Arial"/>
          <w:sz w:val="20"/>
          <w:szCs w:val="20"/>
        </w:rPr>
        <w:t>Supplemental Information to ‘</w:t>
      </w:r>
      <w:r w:rsidRPr="006A626F">
        <w:rPr>
          <w:rFonts w:ascii="Arial" w:hAnsi="Arial" w:cs="Arial"/>
          <w:bCs w:val="0"/>
          <w:sz w:val="20"/>
          <w:szCs w:val="20"/>
          <w:lang w:eastAsia="de-DE"/>
        </w:rPr>
        <w:t xml:space="preserve">Changing nutrient </w:t>
      </w:r>
      <w:r w:rsidR="00E05AB1" w:rsidRPr="006A626F">
        <w:rPr>
          <w:rFonts w:ascii="Arial" w:hAnsi="Arial" w:cs="Arial"/>
          <w:bCs w:val="0"/>
          <w:sz w:val="20"/>
          <w:szCs w:val="20"/>
          <w:lang w:eastAsia="de-DE"/>
        </w:rPr>
        <w:t>stoichiometry</w:t>
      </w:r>
      <w:r w:rsidRPr="006A626F">
        <w:rPr>
          <w:rFonts w:ascii="Arial" w:hAnsi="Arial" w:cs="Arial"/>
          <w:bCs w:val="0"/>
          <w:sz w:val="20"/>
          <w:szCs w:val="20"/>
          <w:lang w:eastAsia="de-DE"/>
        </w:rPr>
        <w:t xml:space="preserve"> affect</w:t>
      </w:r>
      <w:r w:rsidR="005C16D5" w:rsidRPr="006A626F">
        <w:rPr>
          <w:rFonts w:ascii="Arial" w:hAnsi="Arial" w:cs="Arial"/>
          <w:bCs w:val="0"/>
          <w:sz w:val="20"/>
          <w:szCs w:val="20"/>
          <w:lang w:eastAsia="de-DE"/>
        </w:rPr>
        <w:t>s</w:t>
      </w:r>
      <w:r w:rsidRPr="006A626F">
        <w:rPr>
          <w:rFonts w:ascii="Arial" w:hAnsi="Arial" w:cs="Arial"/>
          <w:bCs w:val="0"/>
          <w:sz w:val="20"/>
          <w:szCs w:val="20"/>
          <w:lang w:eastAsia="de-DE"/>
        </w:rPr>
        <w:t xml:space="preserve"> phytoplankton production, DOP build up and dinitrogen fixation – a mesocosm experiment in the eastern tropical North Atlantic</w:t>
      </w:r>
      <w:r w:rsidRPr="006A626F">
        <w:rPr>
          <w:rFonts w:ascii="Arial" w:hAnsi="Arial" w:cs="Arial"/>
          <w:sz w:val="20"/>
          <w:szCs w:val="20"/>
        </w:rPr>
        <w:t>‘</w:t>
      </w:r>
    </w:p>
    <w:p w14:paraId="3B24260C" w14:textId="77777777" w:rsidR="007E5E4E" w:rsidRPr="006A626F" w:rsidRDefault="007E5E4E" w:rsidP="00DD7858">
      <w:pPr>
        <w:spacing w:line="360" w:lineRule="auto"/>
        <w:jc w:val="both"/>
        <w:rPr>
          <w:rFonts w:ascii="Arial" w:hAnsi="Arial" w:cs="Arial"/>
          <w:sz w:val="20"/>
          <w:szCs w:val="20"/>
          <w:lang w:eastAsia="ja-JP"/>
        </w:rPr>
      </w:pPr>
    </w:p>
    <w:p w14:paraId="74D45F97" w14:textId="1A818C4B" w:rsidR="00DD7858" w:rsidRPr="006A626F" w:rsidRDefault="00DD7858" w:rsidP="00DD78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626F">
        <w:rPr>
          <w:rFonts w:ascii="Arial" w:hAnsi="Arial" w:cs="Arial"/>
          <w:b/>
          <w:sz w:val="20"/>
          <w:szCs w:val="20"/>
        </w:rPr>
        <w:t>Selected data.</w:t>
      </w:r>
      <w:r w:rsidRPr="006A626F">
        <w:rPr>
          <w:rFonts w:ascii="Arial" w:hAnsi="Arial" w:cs="Arial"/>
          <w:sz w:val="20"/>
          <w:szCs w:val="20"/>
        </w:rPr>
        <w:t xml:space="preserve"> The subset of data used for statistical modelling comprised 177 observations (see </w:t>
      </w:r>
      <w:r w:rsidRPr="00392BC0">
        <w:rPr>
          <w:rFonts w:ascii="Arial" w:hAnsi="Arial" w:cs="Arial"/>
          <w:sz w:val="20"/>
          <w:szCs w:val="20"/>
        </w:rPr>
        <w:t xml:space="preserve">supplementary file </w:t>
      </w:r>
      <w:r w:rsidR="00392BC0" w:rsidRPr="00392BC0">
        <w:rPr>
          <w:rFonts w:ascii="Arial" w:hAnsi="Arial" w:cs="Arial"/>
          <w:sz w:val="20"/>
          <w:szCs w:val="20"/>
        </w:rPr>
        <w:t>S1_Meyer_et_al_2015</w:t>
      </w:r>
      <w:r w:rsidRPr="00392BC0">
        <w:rPr>
          <w:rFonts w:ascii="Arial" w:hAnsi="Arial" w:cs="Arial"/>
          <w:sz w:val="20"/>
          <w:szCs w:val="20"/>
        </w:rPr>
        <w:t>.xlsx</w:t>
      </w:r>
      <w:r w:rsidRPr="006A626F">
        <w:rPr>
          <w:rFonts w:ascii="Arial" w:hAnsi="Arial" w:cs="Arial"/>
          <w:sz w:val="20"/>
          <w:szCs w:val="20"/>
        </w:rPr>
        <w:t xml:space="preserve">). Nine explanatory variables were retained according to variance inflation factor VIF evaluation, exhibiting VIF values between 1.01 and 1.64. </w:t>
      </w:r>
      <w:r w:rsidR="0016244B" w:rsidRPr="0016244B">
        <w:rPr>
          <w:rFonts w:ascii="Arial" w:hAnsi="Arial" w:cs="Arial"/>
          <w:sz w:val="20"/>
          <w:szCs w:val="20"/>
        </w:rPr>
        <w:t xml:space="preserve">Supplementary figure </w:t>
      </w:r>
      <w:r w:rsidRPr="0016244B">
        <w:rPr>
          <w:rFonts w:ascii="Arial" w:hAnsi="Arial" w:cs="Arial"/>
          <w:sz w:val="20"/>
          <w:szCs w:val="20"/>
        </w:rPr>
        <w:t>S1</w:t>
      </w:r>
      <w:r w:rsidRPr="006A626F">
        <w:rPr>
          <w:rFonts w:ascii="Arial" w:hAnsi="Arial" w:cs="Arial"/>
          <w:sz w:val="20"/>
          <w:szCs w:val="20"/>
        </w:rPr>
        <w:t xml:space="preserve"> provides a heat map-style visualization of correlations between selected (rows) and sorted-out (columns) explanatory variables. POP, POC, and PON w</w:t>
      </w:r>
      <w:r w:rsidR="001F67A9">
        <w:rPr>
          <w:rFonts w:ascii="Arial" w:hAnsi="Arial" w:cs="Arial"/>
          <w:sz w:val="20"/>
          <w:szCs w:val="20"/>
        </w:rPr>
        <w:t>ere positively correlated with D</w:t>
      </w:r>
      <w:bookmarkStart w:id="0" w:name="_GoBack"/>
      <w:bookmarkEnd w:id="0"/>
      <w:r w:rsidRPr="006A626F">
        <w:rPr>
          <w:rFonts w:ascii="Arial" w:hAnsi="Arial" w:cs="Arial"/>
          <w:sz w:val="20"/>
          <w:szCs w:val="20"/>
        </w:rPr>
        <w:t xml:space="preserve">ay and </w:t>
      </w:r>
      <w:proofErr w:type="spellStart"/>
      <w:r w:rsidRPr="006A626F">
        <w:rPr>
          <w:rFonts w:ascii="Arial" w:hAnsi="Arial" w:cs="Arial"/>
          <w:sz w:val="20"/>
          <w:szCs w:val="20"/>
        </w:rPr>
        <w:t>Chl</w:t>
      </w:r>
      <w:proofErr w:type="spellEnd"/>
      <w:r w:rsidR="00392BC0">
        <w:rPr>
          <w:rFonts w:ascii="Arial" w:hAnsi="Arial" w:cs="Arial"/>
          <w:sz w:val="20"/>
          <w:szCs w:val="20"/>
        </w:rPr>
        <w:t xml:space="preserve"> </w:t>
      </w:r>
      <w:r w:rsidRPr="00392BC0">
        <w:rPr>
          <w:rFonts w:ascii="Arial" w:hAnsi="Arial" w:cs="Arial"/>
          <w:i/>
          <w:sz w:val="20"/>
          <w:szCs w:val="20"/>
        </w:rPr>
        <w:t>a</w:t>
      </w:r>
      <w:r w:rsidRPr="006A626F">
        <w:rPr>
          <w:rFonts w:ascii="Arial" w:hAnsi="Arial" w:cs="Arial"/>
          <w:sz w:val="20"/>
          <w:szCs w:val="20"/>
        </w:rPr>
        <w:t xml:space="preserve">; DOC was positively correlated with Day; NtoP_d2 was negatively correlated with PO4_d2 and DOP, but positively correlated with NO3_d2; </w:t>
      </w:r>
      <w:proofErr w:type="spellStart"/>
      <w:r w:rsidRPr="006A626F">
        <w:rPr>
          <w:rFonts w:ascii="Arial" w:hAnsi="Arial" w:cs="Arial"/>
          <w:sz w:val="20"/>
          <w:szCs w:val="20"/>
        </w:rPr>
        <w:t>Vol_initial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was positively correlated with </w:t>
      </w:r>
      <w:proofErr w:type="spellStart"/>
      <w:r w:rsidRPr="006A626F">
        <w:rPr>
          <w:rFonts w:ascii="Arial" w:hAnsi="Arial" w:cs="Arial"/>
          <w:sz w:val="20"/>
          <w:szCs w:val="20"/>
        </w:rPr>
        <w:t>Run_ID</w:t>
      </w:r>
      <w:proofErr w:type="spellEnd"/>
      <w:r w:rsidRPr="006A626F">
        <w:rPr>
          <w:rFonts w:ascii="Arial" w:hAnsi="Arial" w:cs="Arial"/>
          <w:sz w:val="20"/>
          <w:szCs w:val="20"/>
        </w:rPr>
        <w:t>, DOP, and PO4_d2. This means that, whenever one of the selected variables significantly contributes to a model, its effect also represents (at least in part) effects of the variables correlated with it. For example, a positive effect of NO3_d2 in the statistical model implies a simultaneous positive effect of NtoP_d2, while a positive effect of PO4_d2 in the statistical model implies a simultaneous negative effect of NtoP_d2.</w:t>
      </w:r>
    </w:p>
    <w:p w14:paraId="12641DC4" w14:textId="77777777" w:rsidR="00DD7858" w:rsidRPr="006A626F" w:rsidRDefault="00DD7858" w:rsidP="00DD78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626F">
        <w:rPr>
          <w:rFonts w:ascii="Arial" w:hAnsi="Arial" w:cs="Arial"/>
          <w:b/>
          <w:sz w:val="20"/>
          <w:szCs w:val="20"/>
        </w:rPr>
        <w:t>Selected models.</w:t>
      </w:r>
      <w:r w:rsidRPr="006A626F">
        <w:rPr>
          <w:rFonts w:ascii="Arial" w:hAnsi="Arial" w:cs="Arial"/>
          <w:sz w:val="20"/>
          <w:szCs w:val="20"/>
        </w:rPr>
        <w:t xml:space="preserve"> The stochastic part of all models was based on a Poisson distribution with a logarithmic link between the mean of the response variable and the predictor function. This variance structure was appropriate for the count data at hand, accounting both for a non-negative response and increasing </w:t>
      </w:r>
      <w:proofErr w:type="gramStart"/>
      <w:r w:rsidRPr="006A626F">
        <w:rPr>
          <w:rFonts w:ascii="Arial" w:hAnsi="Arial" w:cs="Arial"/>
          <w:sz w:val="20"/>
          <w:szCs w:val="20"/>
        </w:rPr>
        <w:t>variance</w:t>
      </w:r>
      <w:proofErr w:type="gramEnd"/>
      <w:r w:rsidRPr="006A626F">
        <w:rPr>
          <w:rFonts w:ascii="Arial" w:hAnsi="Arial" w:cs="Arial"/>
          <w:sz w:val="20"/>
          <w:szCs w:val="20"/>
        </w:rPr>
        <w:t xml:space="preserve"> with increasing count values. Its suitability was also confirmed by a considerably lower AIC value when compared to a model with the same fixed effects structure but standard Gaussian error distribution (data not shown). The chosen variance structure further comprised temporal autocorrelation modeled by an order-1 autocorrelation structure, as well as a random intercept by </w:t>
      </w:r>
      <w:proofErr w:type="spellStart"/>
      <w:r w:rsidRPr="006A626F">
        <w:rPr>
          <w:rFonts w:ascii="Arial" w:hAnsi="Arial" w:cs="Arial"/>
          <w:sz w:val="20"/>
          <w:szCs w:val="20"/>
        </w:rPr>
        <w:t>Treat_ID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6A626F">
        <w:rPr>
          <w:rFonts w:ascii="Arial" w:hAnsi="Arial" w:cs="Arial"/>
          <w:sz w:val="20"/>
          <w:szCs w:val="20"/>
        </w:rPr>
        <w:t>Meso_ID</w:t>
      </w:r>
      <w:proofErr w:type="spellEnd"/>
      <w:r w:rsidRPr="006A626F">
        <w:rPr>
          <w:rFonts w:ascii="Arial" w:hAnsi="Arial" w:cs="Arial"/>
          <w:sz w:val="20"/>
          <w:szCs w:val="20"/>
        </w:rPr>
        <w:t>.</w:t>
      </w:r>
    </w:p>
    <w:p w14:paraId="25D6B010" w14:textId="26537E53" w:rsidR="00DD7858" w:rsidRPr="006A626F" w:rsidRDefault="00DD7858" w:rsidP="00DD78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626F">
        <w:rPr>
          <w:rFonts w:ascii="Arial" w:hAnsi="Arial" w:cs="Arial"/>
          <w:sz w:val="20"/>
          <w:szCs w:val="20"/>
        </w:rPr>
        <w:t xml:space="preserve">Both the selected gene and transcript count models were highly significant (gene counts: </w:t>
      </w:r>
      <w:r w:rsidRPr="006A626F">
        <w:rPr>
          <w:rFonts w:ascii="Arial" w:hAnsi="Arial" w:cs="Arial"/>
          <w:i/>
          <w:sz w:val="20"/>
          <w:szCs w:val="20"/>
        </w:rPr>
        <w:t>F</w:t>
      </w:r>
      <w:r w:rsidRPr="006A626F">
        <w:rPr>
          <w:rFonts w:ascii="Arial" w:hAnsi="Arial" w:cs="Arial"/>
          <w:sz w:val="20"/>
          <w:szCs w:val="20"/>
          <w:vertAlign w:val="subscript"/>
        </w:rPr>
        <w:t>5</w:t>
      </w:r>
      <w:proofErr w:type="gramStart"/>
      <w:r w:rsidRPr="006A626F">
        <w:rPr>
          <w:rFonts w:ascii="Arial" w:hAnsi="Arial" w:cs="Arial"/>
          <w:sz w:val="20"/>
          <w:szCs w:val="20"/>
          <w:vertAlign w:val="subscript"/>
        </w:rPr>
        <w:t>,674</w:t>
      </w:r>
      <w:proofErr w:type="gramEnd"/>
      <w:r w:rsidRPr="006A626F">
        <w:rPr>
          <w:rFonts w:ascii="Arial" w:hAnsi="Arial" w:cs="Arial"/>
          <w:sz w:val="20"/>
          <w:szCs w:val="20"/>
        </w:rPr>
        <w:t xml:space="preserve"> = 3516.3, </w:t>
      </w:r>
      <w:r w:rsidRPr="006A626F">
        <w:rPr>
          <w:rFonts w:ascii="Arial" w:hAnsi="Arial" w:cs="Arial"/>
          <w:i/>
          <w:sz w:val="20"/>
          <w:szCs w:val="20"/>
        </w:rPr>
        <w:t>p</w:t>
      </w:r>
      <w:r w:rsidRPr="006A626F">
        <w:rPr>
          <w:rFonts w:ascii="Arial" w:hAnsi="Arial" w:cs="Arial"/>
          <w:sz w:val="20"/>
          <w:szCs w:val="20"/>
        </w:rPr>
        <w:t> &lt;10</w:t>
      </w:r>
      <w:r w:rsidRPr="006A626F">
        <w:rPr>
          <w:rFonts w:ascii="Arial" w:hAnsi="Arial" w:cs="Arial"/>
          <w:sz w:val="20"/>
          <w:szCs w:val="20"/>
          <w:vertAlign w:val="superscript"/>
        </w:rPr>
        <w:t>-4</w:t>
      </w:r>
      <w:r w:rsidRPr="006A626F">
        <w:rPr>
          <w:rFonts w:ascii="Arial" w:hAnsi="Arial" w:cs="Arial"/>
          <w:sz w:val="20"/>
          <w:szCs w:val="20"/>
        </w:rPr>
        <w:t xml:space="preserve">; transcript counts: </w:t>
      </w:r>
      <w:r w:rsidRPr="006A626F">
        <w:rPr>
          <w:rFonts w:ascii="Arial" w:hAnsi="Arial" w:cs="Arial"/>
          <w:i/>
          <w:sz w:val="20"/>
          <w:szCs w:val="20"/>
        </w:rPr>
        <w:t>F</w:t>
      </w:r>
      <w:r w:rsidRPr="006A626F">
        <w:rPr>
          <w:rFonts w:ascii="Arial" w:hAnsi="Arial" w:cs="Arial"/>
          <w:sz w:val="20"/>
          <w:szCs w:val="20"/>
          <w:vertAlign w:val="subscript"/>
        </w:rPr>
        <w:t>11,1022</w:t>
      </w:r>
      <w:r w:rsidRPr="006A626F">
        <w:rPr>
          <w:rFonts w:ascii="Arial" w:hAnsi="Arial" w:cs="Arial"/>
          <w:sz w:val="20"/>
          <w:szCs w:val="20"/>
        </w:rPr>
        <w:t xml:space="preserve"> = 116.8, </w:t>
      </w:r>
      <w:r w:rsidRPr="006A626F">
        <w:rPr>
          <w:rFonts w:ascii="Arial" w:hAnsi="Arial" w:cs="Arial"/>
          <w:i/>
          <w:sz w:val="20"/>
          <w:szCs w:val="20"/>
        </w:rPr>
        <w:t>p</w:t>
      </w:r>
      <w:r w:rsidRPr="006A626F">
        <w:rPr>
          <w:rFonts w:ascii="Arial" w:hAnsi="Arial" w:cs="Arial"/>
          <w:sz w:val="20"/>
          <w:szCs w:val="20"/>
        </w:rPr>
        <w:t> &lt;10</w:t>
      </w:r>
      <w:r w:rsidRPr="006A626F">
        <w:rPr>
          <w:rFonts w:ascii="Arial" w:hAnsi="Arial" w:cs="Arial"/>
          <w:sz w:val="20"/>
          <w:szCs w:val="20"/>
          <w:vertAlign w:val="superscript"/>
        </w:rPr>
        <w:t>-4</w:t>
      </w:r>
      <w:r w:rsidRPr="006A626F">
        <w:rPr>
          <w:rFonts w:ascii="Arial" w:hAnsi="Arial" w:cs="Arial"/>
          <w:sz w:val="20"/>
          <w:szCs w:val="20"/>
        </w:rPr>
        <w:t xml:space="preserve">). Summaries of selected gene and transcript count models are given in </w:t>
      </w:r>
      <w:r w:rsidRPr="001F67A9">
        <w:rPr>
          <w:rFonts w:ascii="Arial" w:hAnsi="Arial" w:cs="Arial"/>
          <w:sz w:val="20"/>
          <w:szCs w:val="20"/>
        </w:rPr>
        <w:t>supp</w:t>
      </w:r>
      <w:r w:rsidR="001F67A9" w:rsidRPr="001F67A9">
        <w:rPr>
          <w:rFonts w:ascii="Arial" w:hAnsi="Arial" w:cs="Arial"/>
          <w:sz w:val="20"/>
          <w:szCs w:val="20"/>
        </w:rPr>
        <w:t>lementary files S2_</w:t>
      </w:r>
      <w:r w:rsidRPr="001F67A9">
        <w:rPr>
          <w:rFonts w:ascii="Arial" w:hAnsi="Arial" w:cs="Arial"/>
          <w:sz w:val="20"/>
          <w:szCs w:val="20"/>
        </w:rPr>
        <w:t>model_genes.txt and S3_</w:t>
      </w:r>
      <w:r w:rsidR="00947C46" w:rsidRPr="001F67A9">
        <w:rPr>
          <w:rFonts w:ascii="Arial" w:hAnsi="Arial" w:cs="Arial"/>
          <w:sz w:val="20"/>
          <w:szCs w:val="20"/>
        </w:rPr>
        <w:t xml:space="preserve"> </w:t>
      </w:r>
      <w:r w:rsidRPr="001F67A9">
        <w:rPr>
          <w:rFonts w:ascii="Arial" w:hAnsi="Arial" w:cs="Arial"/>
          <w:sz w:val="20"/>
          <w:szCs w:val="20"/>
        </w:rPr>
        <w:t>model_transcripts.txt,</w:t>
      </w:r>
      <w:r w:rsidRPr="006A626F">
        <w:rPr>
          <w:rFonts w:ascii="Arial" w:hAnsi="Arial" w:cs="Arial"/>
          <w:sz w:val="20"/>
          <w:szCs w:val="20"/>
        </w:rPr>
        <w:t xml:space="preserve"> respectively. Graphical representations of conditional effects can be found in </w:t>
      </w:r>
      <w:r w:rsidRPr="001F67A9">
        <w:rPr>
          <w:rFonts w:ascii="Arial" w:hAnsi="Arial" w:cs="Arial"/>
          <w:sz w:val="20"/>
          <w:szCs w:val="20"/>
        </w:rPr>
        <w:t>Fig</w:t>
      </w:r>
      <w:r w:rsidR="00C51BB8" w:rsidRPr="001F67A9">
        <w:rPr>
          <w:rFonts w:ascii="Arial" w:hAnsi="Arial" w:cs="Arial"/>
          <w:sz w:val="20"/>
          <w:szCs w:val="20"/>
        </w:rPr>
        <w:t>.</w:t>
      </w:r>
      <w:r w:rsidR="00F71E57" w:rsidRPr="001F67A9">
        <w:rPr>
          <w:rFonts w:ascii="Arial" w:hAnsi="Arial" w:cs="Arial"/>
          <w:sz w:val="20"/>
          <w:szCs w:val="20"/>
        </w:rPr>
        <w:t xml:space="preserve"> S</w:t>
      </w:r>
      <w:r w:rsidR="00C51BB8" w:rsidRPr="001F67A9">
        <w:rPr>
          <w:rFonts w:ascii="Arial" w:hAnsi="Arial" w:cs="Arial"/>
          <w:sz w:val="20"/>
          <w:szCs w:val="20"/>
        </w:rPr>
        <w:t>2-</w:t>
      </w:r>
      <w:r w:rsidR="00F71E57" w:rsidRPr="001F67A9">
        <w:rPr>
          <w:rFonts w:ascii="Arial" w:hAnsi="Arial" w:cs="Arial"/>
          <w:sz w:val="20"/>
          <w:szCs w:val="20"/>
        </w:rPr>
        <w:t>S4</w:t>
      </w:r>
      <w:r w:rsidRPr="001F67A9">
        <w:rPr>
          <w:rFonts w:ascii="Arial" w:hAnsi="Arial" w:cs="Arial"/>
          <w:sz w:val="20"/>
          <w:szCs w:val="20"/>
        </w:rPr>
        <w:t>.</w:t>
      </w:r>
      <w:r w:rsidRPr="006A626F">
        <w:rPr>
          <w:rFonts w:ascii="Arial" w:hAnsi="Arial" w:cs="Arial"/>
          <w:sz w:val="20"/>
          <w:szCs w:val="20"/>
        </w:rPr>
        <w:t xml:space="preserve"> Some terms were retained in the final models despite being insignificant, as they improved the model fit. Overall fitted temporal response patterns by Gene and </w:t>
      </w:r>
      <w:proofErr w:type="spellStart"/>
      <w:r w:rsidRPr="006A626F">
        <w:rPr>
          <w:rFonts w:ascii="Arial" w:hAnsi="Arial" w:cs="Arial"/>
          <w:sz w:val="20"/>
          <w:szCs w:val="20"/>
        </w:rPr>
        <w:t>Run_ID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are displayed in </w:t>
      </w:r>
      <w:r w:rsidRPr="001F67A9">
        <w:rPr>
          <w:rFonts w:ascii="Arial" w:hAnsi="Arial" w:cs="Arial"/>
          <w:sz w:val="20"/>
          <w:szCs w:val="20"/>
        </w:rPr>
        <w:t xml:space="preserve">Fig. </w:t>
      </w:r>
      <w:r w:rsidR="001F67A9" w:rsidRPr="001F67A9">
        <w:rPr>
          <w:rFonts w:ascii="Arial" w:hAnsi="Arial" w:cs="Arial"/>
          <w:sz w:val="20"/>
          <w:szCs w:val="20"/>
        </w:rPr>
        <w:t>8</w:t>
      </w:r>
      <w:r w:rsidRPr="001F67A9">
        <w:rPr>
          <w:rFonts w:ascii="Arial" w:hAnsi="Arial" w:cs="Arial"/>
          <w:sz w:val="20"/>
          <w:szCs w:val="20"/>
        </w:rPr>
        <w:t xml:space="preserve"> and </w:t>
      </w:r>
      <w:r w:rsidR="001F67A9" w:rsidRPr="001F67A9">
        <w:rPr>
          <w:rFonts w:ascii="Arial" w:hAnsi="Arial" w:cs="Arial"/>
          <w:sz w:val="20"/>
          <w:szCs w:val="20"/>
        </w:rPr>
        <w:t>9</w:t>
      </w:r>
      <w:r w:rsidRPr="006A626F">
        <w:rPr>
          <w:rFonts w:ascii="Arial" w:hAnsi="Arial" w:cs="Arial"/>
          <w:sz w:val="20"/>
          <w:szCs w:val="20"/>
        </w:rPr>
        <w:t xml:space="preserve">, respectively. The latter figures indicate that there might be a slight overdispersion in the counts, which is not </w:t>
      </w:r>
      <w:proofErr w:type="gramStart"/>
      <w:r w:rsidRPr="006A626F">
        <w:rPr>
          <w:rFonts w:ascii="Arial" w:hAnsi="Arial" w:cs="Arial"/>
          <w:sz w:val="20"/>
          <w:szCs w:val="20"/>
        </w:rPr>
        <w:t>well-captured</w:t>
      </w:r>
      <w:proofErr w:type="gramEnd"/>
      <w:r w:rsidRPr="006A626F">
        <w:rPr>
          <w:rFonts w:ascii="Arial" w:hAnsi="Arial" w:cs="Arial"/>
          <w:sz w:val="20"/>
          <w:szCs w:val="20"/>
        </w:rPr>
        <w:t xml:space="preserve"> by a Poisson distribution. We therefore also tried to fit the models with a negative binomial distribution (which could account for overdispersion), but models did not converge in that case.</w:t>
      </w:r>
    </w:p>
    <w:p w14:paraId="382D10B5" w14:textId="77777777" w:rsidR="006A626F" w:rsidRPr="006A626F" w:rsidRDefault="006A626F" w:rsidP="006A62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626F">
        <w:rPr>
          <w:rFonts w:ascii="Arial" w:hAnsi="Arial" w:cs="Arial"/>
          <w:sz w:val="20"/>
          <w:szCs w:val="20"/>
        </w:rPr>
        <w:t xml:space="preserve">For all </w:t>
      </w:r>
      <w:r w:rsidRPr="006A626F">
        <w:rPr>
          <w:rFonts w:ascii="Arial" w:hAnsi="Arial" w:cs="Arial"/>
          <w:i/>
          <w:sz w:val="20"/>
          <w:szCs w:val="20"/>
        </w:rPr>
        <w:t>nifH</w:t>
      </w:r>
      <w:r w:rsidRPr="006A626F">
        <w:rPr>
          <w:rFonts w:ascii="Arial" w:hAnsi="Arial" w:cs="Arial"/>
          <w:sz w:val="20"/>
          <w:szCs w:val="20"/>
        </w:rPr>
        <w:t xml:space="preserve"> clusters but </w:t>
      </w:r>
      <w:proofErr w:type="spellStart"/>
      <w:r w:rsidRPr="006A626F">
        <w:rPr>
          <w:rFonts w:ascii="Arial" w:hAnsi="Arial" w:cs="Arial"/>
          <w:sz w:val="20"/>
          <w:szCs w:val="20"/>
        </w:rPr>
        <w:t>nifH_Fil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, conditional temporal responses (i.e., of the day effect alone with other effects partialled out) were distinctly different between </w:t>
      </w:r>
      <w:proofErr w:type="spellStart"/>
      <w:r w:rsidRPr="006A626F">
        <w:rPr>
          <w:rFonts w:ascii="Arial" w:hAnsi="Arial" w:cs="Arial"/>
          <w:sz w:val="20"/>
          <w:szCs w:val="20"/>
        </w:rPr>
        <w:t>Varied_N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6A626F">
        <w:rPr>
          <w:rFonts w:ascii="Arial" w:hAnsi="Arial" w:cs="Arial"/>
          <w:sz w:val="20"/>
          <w:szCs w:val="20"/>
        </w:rPr>
        <w:t>Varied_P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runs. Specifically, in the case of </w:t>
      </w:r>
      <w:proofErr w:type="spellStart"/>
      <w:r w:rsidRPr="006A626F">
        <w:rPr>
          <w:rFonts w:ascii="Arial" w:hAnsi="Arial" w:cs="Arial"/>
          <w:sz w:val="20"/>
          <w:szCs w:val="20"/>
        </w:rPr>
        <w:t>nifH_AO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, the smoother for </w:t>
      </w:r>
      <w:proofErr w:type="spellStart"/>
      <w:r w:rsidRPr="006A626F">
        <w:rPr>
          <w:rFonts w:ascii="Arial" w:hAnsi="Arial" w:cs="Arial"/>
          <w:sz w:val="20"/>
          <w:szCs w:val="20"/>
        </w:rPr>
        <w:t>Varied_N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conditions was only marginally significant (</w:t>
      </w:r>
      <w:r w:rsidRPr="006A626F">
        <w:rPr>
          <w:rFonts w:ascii="Arial" w:hAnsi="Arial" w:cs="Arial"/>
          <w:i/>
          <w:sz w:val="20"/>
          <w:szCs w:val="20"/>
        </w:rPr>
        <w:t>p</w:t>
      </w:r>
      <w:r w:rsidRPr="006A626F">
        <w:rPr>
          <w:rFonts w:ascii="Arial" w:hAnsi="Arial" w:cs="Arial"/>
          <w:sz w:val="20"/>
          <w:szCs w:val="20"/>
        </w:rPr>
        <w:t> </w:t>
      </w:r>
      <w:r w:rsidRPr="006A626F">
        <w:rPr>
          <w:rFonts w:ascii="Arial" w:hAnsi="Arial" w:cs="Arial"/>
          <w:sz w:val="20"/>
          <w:szCs w:val="20"/>
        </w:rPr>
        <w:sym w:font="Symbol" w:char="F0BB"/>
      </w:r>
      <w:r w:rsidRPr="006A626F">
        <w:rPr>
          <w:rFonts w:ascii="Arial" w:hAnsi="Arial" w:cs="Arial"/>
          <w:sz w:val="20"/>
          <w:szCs w:val="20"/>
        </w:rPr>
        <w:t xml:space="preserve"> .03) and predicted a slight transitory increase in gene counts between Day 5 and 6. On the other hand, under </w:t>
      </w:r>
      <w:proofErr w:type="spellStart"/>
      <w:r w:rsidRPr="006A626F">
        <w:rPr>
          <w:rFonts w:ascii="Arial" w:hAnsi="Arial" w:cs="Arial"/>
          <w:sz w:val="20"/>
          <w:szCs w:val="20"/>
        </w:rPr>
        <w:lastRenderedPageBreak/>
        <w:t>Varied_P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conditions, the smoother showed higher significance (</w:t>
      </w:r>
      <w:r w:rsidRPr="006A626F">
        <w:rPr>
          <w:rFonts w:ascii="Arial" w:hAnsi="Arial" w:cs="Arial"/>
          <w:i/>
          <w:sz w:val="20"/>
          <w:szCs w:val="20"/>
        </w:rPr>
        <w:t>p</w:t>
      </w:r>
      <w:r w:rsidRPr="006A626F">
        <w:rPr>
          <w:rFonts w:ascii="Arial" w:hAnsi="Arial" w:cs="Arial"/>
          <w:sz w:val="20"/>
          <w:szCs w:val="20"/>
        </w:rPr>
        <w:t> </w:t>
      </w:r>
      <w:r w:rsidRPr="006A626F">
        <w:rPr>
          <w:rFonts w:ascii="Arial" w:hAnsi="Arial" w:cs="Arial"/>
          <w:sz w:val="20"/>
          <w:szCs w:val="20"/>
        </w:rPr>
        <w:sym w:font="Symbol" w:char="F0BB"/>
      </w:r>
      <w:r w:rsidRPr="006A626F">
        <w:rPr>
          <w:rFonts w:ascii="Arial" w:hAnsi="Arial" w:cs="Arial"/>
          <w:sz w:val="20"/>
          <w:szCs w:val="20"/>
        </w:rPr>
        <w:t xml:space="preserve"> 1.7×10</w:t>
      </w:r>
      <w:r w:rsidRPr="006A626F">
        <w:rPr>
          <w:rFonts w:ascii="Arial" w:hAnsi="Arial" w:cs="Arial"/>
          <w:sz w:val="20"/>
          <w:szCs w:val="20"/>
          <w:vertAlign w:val="superscript"/>
        </w:rPr>
        <w:t>-6</w:t>
      </w:r>
      <w:r w:rsidRPr="006A626F">
        <w:rPr>
          <w:rFonts w:ascii="Arial" w:hAnsi="Arial" w:cs="Arial"/>
          <w:sz w:val="20"/>
          <w:szCs w:val="20"/>
        </w:rPr>
        <w:t xml:space="preserve">) and predicted a clear initial increase of gene counts with a maximum between Day 3 and 4, followed by a slight decrease to the mean of </w:t>
      </w:r>
      <w:proofErr w:type="spellStart"/>
      <w:r w:rsidRPr="006A626F">
        <w:rPr>
          <w:rFonts w:ascii="Arial" w:hAnsi="Arial" w:cs="Arial"/>
          <w:sz w:val="20"/>
          <w:szCs w:val="20"/>
        </w:rPr>
        <w:t>nifH_AO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counts.</w:t>
      </w:r>
    </w:p>
    <w:p w14:paraId="33E6C0C1" w14:textId="77777777" w:rsidR="006A626F" w:rsidRPr="006A626F" w:rsidRDefault="006A626F" w:rsidP="006A62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626F">
        <w:rPr>
          <w:rFonts w:ascii="Arial" w:hAnsi="Arial" w:cs="Arial"/>
          <w:sz w:val="20"/>
          <w:szCs w:val="20"/>
        </w:rPr>
        <w:t xml:space="preserve">The difference in temporal responses between runs was even more pronounced for </w:t>
      </w:r>
      <w:proofErr w:type="spellStart"/>
      <w:r w:rsidRPr="006A626F">
        <w:rPr>
          <w:rFonts w:ascii="Arial" w:hAnsi="Arial" w:cs="Arial"/>
          <w:sz w:val="20"/>
          <w:szCs w:val="20"/>
        </w:rPr>
        <w:t>nifH_UA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. While the model did not predict any changes of </w:t>
      </w:r>
      <w:proofErr w:type="spellStart"/>
      <w:r w:rsidRPr="006A626F">
        <w:rPr>
          <w:rFonts w:ascii="Arial" w:hAnsi="Arial" w:cs="Arial"/>
          <w:sz w:val="20"/>
          <w:szCs w:val="20"/>
        </w:rPr>
        <w:t>nifH_UA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counts over time under </w:t>
      </w:r>
      <w:proofErr w:type="spellStart"/>
      <w:r w:rsidRPr="006A626F">
        <w:rPr>
          <w:rFonts w:ascii="Arial" w:hAnsi="Arial" w:cs="Arial"/>
          <w:sz w:val="20"/>
          <w:szCs w:val="20"/>
        </w:rPr>
        <w:t>Varied_N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conditions, the response pattern within </w:t>
      </w:r>
      <w:proofErr w:type="spellStart"/>
      <w:r w:rsidRPr="006A626F">
        <w:rPr>
          <w:rFonts w:ascii="Arial" w:hAnsi="Arial" w:cs="Arial"/>
          <w:sz w:val="20"/>
          <w:szCs w:val="20"/>
        </w:rPr>
        <w:t>Varied_P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was complex: After a marked initial increase with a narrow maximum at Day 3, </w:t>
      </w:r>
      <w:proofErr w:type="spellStart"/>
      <w:r w:rsidRPr="006A626F">
        <w:rPr>
          <w:rFonts w:ascii="Arial" w:hAnsi="Arial" w:cs="Arial"/>
          <w:sz w:val="20"/>
          <w:szCs w:val="20"/>
        </w:rPr>
        <w:t>nifH_UA</w:t>
      </w:r>
      <w:proofErr w:type="spellEnd"/>
      <w:r w:rsidRPr="006A626F">
        <w:rPr>
          <w:rFonts w:ascii="Arial" w:hAnsi="Arial" w:cs="Arial"/>
          <w:sz w:val="20"/>
          <w:szCs w:val="20"/>
        </w:rPr>
        <w:t xml:space="preserve"> counts exhibited a downward trend below their mean level until Day 5 before rising once more above the mean level.</w:t>
      </w:r>
    </w:p>
    <w:p w14:paraId="367D6D27" w14:textId="77777777" w:rsidR="006A626F" w:rsidRPr="006A626F" w:rsidRDefault="006A626F" w:rsidP="006A62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626F">
        <w:rPr>
          <w:rFonts w:ascii="Arial" w:hAnsi="Arial" w:cs="Arial"/>
          <w:sz w:val="20"/>
          <w:szCs w:val="20"/>
        </w:rPr>
        <w:t>The smoother of the covariate DOP differed only marginally from a straight line and thus implies a near-linear effect on the overall gene count distribution, with higher DOP concentrations resulting in lower count values. The influence of DON_d2 on the estimated gene count was comparatively complex, showing a positive effect at intermediate concentrations and a negative to neutral effect at both low and high concentrations of DON (the predicted positive effect at very low DON concentrations presumably being a leverage effect of a single ill-fitting observation).</w:t>
      </w:r>
    </w:p>
    <w:p w14:paraId="04D13E20" w14:textId="77777777" w:rsidR="009539D6" w:rsidRDefault="009539D6" w:rsidP="00C574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48F3A4" w14:textId="77777777" w:rsidR="00D2752D" w:rsidRPr="006A626F" w:rsidRDefault="00D2752D" w:rsidP="00C57495">
      <w:pPr>
        <w:spacing w:line="360" w:lineRule="auto"/>
        <w:jc w:val="both"/>
        <w:rPr>
          <w:rFonts w:ascii="Arial" w:hAnsi="Arial" w:cs="Arial"/>
          <w:b/>
          <w:sz w:val="20"/>
          <w:szCs w:val="20"/>
          <w:lang w:eastAsia="ja-JP"/>
        </w:rPr>
      </w:pPr>
      <w:r w:rsidRPr="006A626F">
        <w:rPr>
          <w:rFonts w:ascii="Arial" w:hAnsi="Arial" w:cs="Arial"/>
          <w:b/>
          <w:sz w:val="20"/>
          <w:szCs w:val="20"/>
          <w:lang w:eastAsia="ja-JP"/>
        </w:rPr>
        <w:t>Figures:</w:t>
      </w:r>
    </w:p>
    <w:p w14:paraId="0BB7C641" w14:textId="77777777" w:rsidR="00D2752D" w:rsidRPr="006A626F" w:rsidRDefault="00D2752D" w:rsidP="00C57495">
      <w:pPr>
        <w:spacing w:line="360" w:lineRule="auto"/>
        <w:jc w:val="both"/>
        <w:rPr>
          <w:rFonts w:ascii="Arial" w:hAnsi="Arial" w:cs="Arial"/>
          <w:sz w:val="20"/>
          <w:szCs w:val="20"/>
          <w:lang w:eastAsia="ja-JP"/>
        </w:rPr>
      </w:pPr>
      <w:r w:rsidRPr="006A626F">
        <w:rPr>
          <w:rFonts w:ascii="Arial" w:hAnsi="Arial" w:cs="Arial"/>
          <w:sz w:val="20"/>
          <w:szCs w:val="20"/>
          <w:lang w:eastAsia="ja-JP"/>
        </w:rPr>
        <w:t>Figure S1: Heat map showing the correlation between selected (rows) and sorted-out (columns) explanatory variables</w:t>
      </w:r>
      <w:r w:rsidR="00E342EE" w:rsidRPr="006A626F">
        <w:rPr>
          <w:rFonts w:ascii="Arial" w:hAnsi="Arial" w:cs="Arial"/>
          <w:sz w:val="20"/>
          <w:szCs w:val="20"/>
          <w:lang w:eastAsia="ja-JP"/>
        </w:rPr>
        <w:t xml:space="preserve"> of A: all parameters</w:t>
      </w:r>
      <w:r w:rsidR="00FE063B" w:rsidRPr="006A626F">
        <w:rPr>
          <w:rFonts w:ascii="Arial" w:hAnsi="Arial" w:cs="Arial"/>
          <w:sz w:val="20"/>
          <w:szCs w:val="20"/>
          <w:lang w:eastAsia="ja-JP"/>
        </w:rPr>
        <w:t>, B: significant parameters.</w:t>
      </w:r>
    </w:p>
    <w:p w14:paraId="243D5FC4" w14:textId="10CB027E" w:rsidR="00D2752D" w:rsidRPr="006A626F" w:rsidRDefault="0016244B" w:rsidP="00E045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Figure S2</w:t>
      </w:r>
      <w:r w:rsidRPr="003269F9">
        <w:rPr>
          <w:rFonts w:ascii="Arial" w:hAnsi="Arial" w:cs="Arial"/>
          <w:sz w:val="20"/>
          <w:szCs w:val="20"/>
        </w:rPr>
        <w:t>: Selec</w:t>
      </w:r>
      <w:r>
        <w:rPr>
          <w:rFonts w:ascii="Arial" w:hAnsi="Arial" w:cs="Arial"/>
          <w:sz w:val="20"/>
          <w:szCs w:val="20"/>
        </w:rPr>
        <w:t>ted conditional responses (i.e.</w:t>
      </w:r>
      <w:r w:rsidRPr="003269F9">
        <w:rPr>
          <w:rFonts w:ascii="Arial" w:hAnsi="Arial" w:cs="Arial"/>
          <w:sz w:val="20"/>
          <w:szCs w:val="20"/>
        </w:rPr>
        <w:t xml:space="preserve"> of the effect of interest alone and other effects partialled out) of nifH transcript counts to selected terms of the predictive model. Terms are (A) </w:t>
      </w:r>
      <w:proofErr w:type="spellStart"/>
      <w:r w:rsidRPr="003269F9">
        <w:rPr>
          <w:rFonts w:ascii="Arial" w:hAnsi="Arial" w:cs="Arial"/>
          <w:sz w:val="20"/>
          <w:szCs w:val="20"/>
        </w:rPr>
        <w:t>transcripts_Het_I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269F9">
        <w:rPr>
          <w:rFonts w:ascii="Arial" w:hAnsi="Arial" w:cs="Arial"/>
          <w:sz w:val="20"/>
          <w:szCs w:val="20"/>
        </w:rPr>
        <w:t>Varied_N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 by Day, (B) </w:t>
      </w:r>
      <w:proofErr w:type="spellStart"/>
      <w:r w:rsidRPr="003269F9">
        <w:rPr>
          <w:rFonts w:ascii="Arial" w:hAnsi="Arial" w:cs="Arial"/>
          <w:sz w:val="20"/>
          <w:szCs w:val="20"/>
        </w:rPr>
        <w:t>transcripts_Het_I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269F9">
        <w:rPr>
          <w:rFonts w:ascii="Arial" w:hAnsi="Arial" w:cs="Arial"/>
          <w:sz w:val="20"/>
          <w:szCs w:val="20"/>
        </w:rPr>
        <w:t>Varied_P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 by Day, (C) </w:t>
      </w:r>
      <w:proofErr w:type="spellStart"/>
      <w:r w:rsidRPr="003269F9">
        <w:rPr>
          <w:rFonts w:ascii="Arial" w:hAnsi="Arial" w:cs="Arial"/>
          <w:sz w:val="20"/>
          <w:szCs w:val="20"/>
        </w:rPr>
        <w:t>transcripts_Het_II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269F9">
        <w:rPr>
          <w:rFonts w:ascii="Arial" w:hAnsi="Arial" w:cs="Arial"/>
          <w:sz w:val="20"/>
          <w:szCs w:val="20"/>
        </w:rPr>
        <w:t>Varied_N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 by Day, (D) </w:t>
      </w:r>
      <w:proofErr w:type="spellStart"/>
      <w:r w:rsidRPr="003269F9">
        <w:rPr>
          <w:rFonts w:ascii="Arial" w:hAnsi="Arial" w:cs="Arial"/>
          <w:sz w:val="20"/>
          <w:szCs w:val="20"/>
        </w:rPr>
        <w:t>transcripts_Het_II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269F9">
        <w:rPr>
          <w:rFonts w:ascii="Arial" w:hAnsi="Arial" w:cs="Arial"/>
          <w:sz w:val="20"/>
          <w:szCs w:val="20"/>
        </w:rPr>
        <w:t>Varied_P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 by Day, (E) </w:t>
      </w:r>
      <w:proofErr w:type="spellStart"/>
      <w:r w:rsidRPr="003269F9">
        <w:rPr>
          <w:rFonts w:ascii="Arial" w:hAnsi="Arial" w:cs="Arial"/>
          <w:sz w:val="20"/>
          <w:szCs w:val="20"/>
        </w:rPr>
        <w:t>Chla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, (F) DOP, (G) NO3_d2, (H) SiO_d2. Dashes at the bottom of the plots (“rag plot”) denote presence of values. Responses at the scale of the linear predictor (here: </w:t>
      </w:r>
      <w:proofErr w:type="gramStart"/>
      <w:r w:rsidRPr="003269F9">
        <w:rPr>
          <w:rFonts w:ascii="Arial" w:hAnsi="Arial" w:cs="Arial"/>
          <w:sz w:val="20"/>
          <w:szCs w:val="20"/>
        </w:rPr>
        <w:t>ln(</w:t>
      </w:r>
      <w:proofErr w:type="gramEnd"/>
      <w:r w:rsidRPr="003269F9">
        <w:rPr>
          <w:rFonts w:ascii="Arial" w:hAnsi="Arial" w:cs="Arial"/>
          <w:sz w:val="20"/>
          <w:szCs w:val="20"/>
        </w:rPr>
        <w:t xml:space="preserve">counts)) are centered by reference level and shown as solid lines, their 95% confidence intervals as grey shades or dashed lines, respectively. Reference levels are group means by </w:t>
      </w:r>
      <w:proofErr w:type="spellStart"/>
      <w:r w:rsidRPr="003269F9">
        <w:rPr>
          <w:rFonts w:ascii="Arial" w:hAnsi="Arial" w:cs="Arial"/>
          <w:sz w:val="20"/>
          <w:szCs w:val="20"/>
        </w:rPr>
        <w:t>nif</w:t>
      </w:r>
      <w:proofErr w:type="spellEnd"/>
      <w:r w:rsidRPr="003269F9">
        <w:rPr>
          <w:rFonts w:ascii="Arial" w:hAnsi="Arial" w:cs="Arial"/>
          <w:sz w:val="20"/>
          <w:szCs w:val="20"/>
        </w:rPr>
        <w:t xml:space="preserve"> cluster for temporal effects, and the global mean otherwise. </w:t>
      </w:r>
      <w:proofErr w:type="gramStart"/>
      <w:r w:rsidRPr="003269F9">
        <w:rPr>
          <w:rFonts w:ascii="Arial" w:hAnsi="Arial" w:cs="Arial"/>
          <w:sz w:val="20"/>
          <w:szCs w:val="20"/>
        </w:rPr>
        <w:t>With smoothers (A-F), reference levels are marked by a dashed line</w:t>
      </w:r>
      <w:proofErr w:type="gramEnd"/>
      <w:r w:rsidRPr="003269F9">
        <w:rPr>
          <w:rFonts w:ascii="Arial" w:hAnsi="Arial" w:cs="Arial"/>
          <w:sz w:val="20"/>
          <w:szCs w:val="20"/>
        </w:rPr>
        <w:t>.</w:t>
      </w:r>
    </w:p>
    <w:p w14:paraId="5EDAE9F2" w14:textId="77155B9E" w:rsidR="00D2752D" w:rsidRPr="006A626F" w:rsidRDefault="0016244B" w:rsidP="00C57495">
      <w:pPr>
        <w:spacing w:line="360" w:lineRule="auto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Figure S3</w:t>
      </w:r>
      <w:r w:rsidR="00D2752D" w:rsidRPr="006A626F">
        <w:rPr>
          <w:rFonts w:ascii="Arial" w:hAnsi="Arial" w:cs="Arial"/>
          <w:sz w:val="20"/>
          <w:szCs w:val="20"/>
          <w:lang w:eastAsia="ja-JP"/>
        </w:rPr>
        <w:t xml:space="preserve">: </w:t>
      </w:r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Conditional responses (i.e., of the effect of interest alone and other effects partialled out) of nifH </w:t>
      </w:r>
      <w:r w:rsidR="004D37F7">
        <w:rPr>
          <w:rFonts w:ascii="Arial" w:hAnsi="Arial" w:cs="Arial"/>
          <w:sz w:val="20"/>
          <w:szCs w:val="20"/>
          <w:lang w:eastAsia="ja-JP"/>
        </w:rPr>
        <w:t>gene counts</w:t>
      </w:r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 to selected terms of the predictive model. </w:t>
      </w:r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Terms are (A) </w:t>
      </w:r>
      <w:proofErr w:type="spellStart"/>
      <w:r w:rsidR="00C25CA0">
        <w:rPr>
          <w:rFonts w:ascii="Arial" w:hAnsi="Arial" w:cs="Arial"/>
          <w:sz w:val="20"/>
          <w:szCs w:val="20"/>
          <w:lang w:eastAsia="ja-JP"/>
        </w:rPr>
        <w:t>nifH_Fil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Varied_N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by Day, (B)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nifH_Fil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Varied_P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by Day, (C)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nifH_</w:t>
      </w:r>
      <w:r w:rsidR="00C25CA0">
        <w:rPr>
          <w:rFonts w:ascii="Arial" w:hAnsi="Arial" w:cs="Arial"/>
          <w:sz w:val="20"/>
          <w:szCs w:val="20"/>
          <w:lang w:eastAsia="ja-JP"/>
        </w:rPr>
        <w:t>CR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Varied_N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by Day, (D</w:t>
      </w:r>
      <w:r w:rsidR="00C25CA0">
        <w:rPr>
          <w:rFonts w:ascii="Arial" w:hAnsi="Arial" w:cs="Arial"/>
          <w:sz w:val="20"/>
          <w:szCs w:val="20"/>
          <w:lang w:eastAsia="ja-JP"/>
        </w:rPr>
        <w:t>)</w:t>
      </w:r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nifH_CR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Varied_P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by Day, </w:t>
      </w:r>
      <w:r w:rsidR="00C25CA0">
        <w:rPr>
          <w:rFonts w:ascii="Arial" w:hAnsi="Arial" w:cs="Arial"/>
          <w:sz w:val="20"/>
          <w:szCs w:val="20"/>
          <w:lang w:eastAsia="ja-JP"/>
        </w:rPr>
        <w:t>(E</w:t>
      </w:r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)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nifH_</w:t>
      </w:r>
      <w:r w:rsidR="00C25CA0">
        <w:rPr>
          <w:rFonts w:ascii="Arial" w:hAnsi="Arial" w:cs="Arial"/>
          <w:sz w:val="20"/>
          <w:szCs w:val="20"/>
          <w:lang w:eastAsia="ja-JP"/>
        </w:rPr>
        <w:t>AO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Varied_N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by Day, (</w:t>
      </w:r>
      <w:r w:rsidR="00C25CA0">
        <w:rPr>
          <w:rFonts w:ascii="Arial" w:hAnsi="Arial" w:cs="Arial"/>
          <w:sz w:val="20"/>
          <w:szCs w:val="20"/>
          <w:lang w:eastAsia="ja-JP"/>
        </w:rPr>
        <w:t>F</w:t>
      </w:r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)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nifH_AO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Varied_P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by Day, (</w:t>
      </w:r>
      <w:r w:rsidR="00C25CA0">
        <w:rPr>
          <w:rFonts w:ascii="Arial" w:hAnsi="Arial" w:cs="Arial"/>
          <w:sz w:val="20"/>
          <w:szCs w:val="20"/>
          <w:lang w:eastAsia="ja-JP"/>
        </w:rPr>
        <w:t>G</w:t>
      </w:r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)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nifH_</w:t>
      </w:r>
      <w:r w:rsidR="00C25CA0">
        <w:rPr>
          <w:rFonts w:ascii="Arial" w:hAnsi="Arial" w:cs="Arial"/>
          <w:sz w:val="20"/>
          <w:szCs w:val="20"/>
          <w:lang w:eastAsia="ja-JP"/>
        </w:rPr>
        <w:t>UA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Varied_N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by Day, (</w:t>
      </w:r>
      <w:r w:rsidR="00C25CA0">
        <w:rPr>
          <w:rFonts w:ascii="Arial" w:hAnsi="Arial" w:cs="Arial"/>
          <w:sz w:val="20"/>
          <w:szCs w:val="20"/>
          <w:lang w:eastAsia="ja-JP"/>
        </w:rPr>
        <w:t>H</w:t>
      </w:r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)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nifH_</w:t>
      </w:r>
      <w:r w:rsidR="00C25CA0">
        <w:rPr>
          <w:rFonts w:ascii="Arial" w:hAnsi="Arial" w:cs="Arial"/>
          <w:sz w:val="20"/>
          <w:szCs w:val="20"/>
          <w:lang w:eastAsia="ja-JP"/>
        </w:rPr>
        <w:t>UA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C25CA0" w:rsidRPr="00C25CA0">
        <w:rPr>
          <w:rFonts w:ascii="Arial" w:hAnsi="Arial" w:cs="Arial"/>
          <w:sz w:val="20"/>
          <w:szCs w:val="20"/>
          <w:lang w:eastAsia="ja-JP"/>
        </w:rPr>
        <w:t>Varied_P</w:t>
      </w:r>
      <w:proofErr w:type="spellEnd"/>
      <w:r w:rsidR="00C25CA0" w:rsidRPr="00C25CA0">
        <w:rPr>
          <w:rFonts w:ascii="Arial" w:hAnsi="Arial" w:cs="Arial"/>
          <w:sz w:val="20"/>
          <w:szCs w:val="20"/>
          <w:lang w:eastAsia="ja-JP"/>
        </w:rPr>
        <w:t xml:space="preserve"> by Day, (</w:t>
      </w:r>
      <w:r w:rsidR="00C25CA0">
        <w:rPr>
          <w:rFonts w:ascii="Arial" w:hAnsi="Arial" w:cs="Arial"/>
          <w:sz w:val="20"/>
          <w:szCs w:val="20"/>
          <w:lang w:eastAsia="ja-JP"/>
        </w:rPr>
        <w:t>I</w:t>
      </w:r>
      <w:r w:rsidR="00C25CA0" w:rsidRPr="00C25CA0">
        <w:rPr>
          <w:rFonts w:ascii="Arial" w:hAnsi="Arial" w:cs="Arial"/>
          <w:sz w:val="20"/>
          <w:szCs w:val="20"/>
          <w:lang w:eastAsia="ja-JP"/>
        </w:rPr>
        <w:t>)</w:t>
      </w:r>
      <w:r w:rsidR="00C25CA0">
        <w:rPr>
          <w:rFonts w:ascii="Arial" w:hAnsi="Arial" w:cs="Arial"/>
          <w:sz w:val="20"/>
          <w:szCs w:val="20"/>
          <w:lang w:eastAsia="ja-JP"/>
        </w:rPr>
        <w:t xml:space="preserve"> </w:t>
      </w:r>
      <w:r w:rsidR="00C25CA0" w:rsidRPr="00C25CA0">
        <w:rPr>
          <w:rFonts w:ascii="Arial" w:hAnsi="Arial" w:cs="Arial"/>
          <w:sz w:val="20"/>
          <w:szCs w:val="20"/>
          <w:lang w:eastAsia="ja-JP"/>
        </w:rPr>
        <w:t>DOP</w:t>
      </w:r>
      <w:r w:rsidR="00C25CA0">
        <w:rPr>
          <w:rFonts w:ascii="Arial" w:hAnsi="Arial" w:cs="Arial"/>
          <w:sz w:val="20"/>
          <w:szCs w:val="20"/>
          <w:lang w:eastAsia="ja-JP"/>
        </w:rPr>
        <w:t xml:space="preserve">, (J) PO4_d2, (K) DON_d2, </w:t>
      </w:r>
      <w:r w:rsidR="00811CA4">
        <w:rPr>
          <w:rFonts w:ascii="Arial" w:hAnsi="Arial" w:cs="Arial"/>
          <w:sz w:val="20"/>
          <w:szCs w:val="20"/>
          <w:lang w:eastAsia="ja-JP"/>
        </w:rPr>
        <w:t xml:space="preserve">(L) Gene, (M) </w:t>
      </w:r>
      <w:proofErr w:type="spellStart"/>
      <w:r w:rsidR="00811CA4">
        <w:rPr>
          <w:rFonts w:ascii="Arial" w:hAnsi="Arial" w:cs="Arial"/>
          <w:sz w:val="20"/>
          <w:szCs w:val="20"/>
          <w:lang w:eastAsia="ja-JP"/>
        </w:rPr>
        <w:t>Run_ID</w:t>
      </w:r>
      <w:proofErr w:type="spellEnd"/>
      <w:r w:rsidR="00811CA4">
        <w:rPr>
          <w:rFonts w:ascii="Arial" w:hAnsi="Arial" w:cs="Arial"/>
          <w:sz w:val="20"/>
          <w:szCs w:val="20"/>
          <w:lang w:eastAsia="ja-JP"/>
        </w:rPr>
        <w:t xml:space="preserve">. 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>Dashes at the bottom of the plots (“rag plot”) denote presence of values.</w:t>
      </w:r>
      <w:r w:rsidR="00811CA4">
        <w:rPr>
          <w:rFonts w:ascii="Arial" w:hAnsi="Arial" w:cs="Arial"/>
          <w:sz w:val="20"/>
          <w:szCs w:val="20"/>
          <w:lang w:eastAsia="ja-JP"/>
        </w:rPr>
        <w:t xml:space="preserve"> </w:t>
      </w:r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Responses at the scale of the linear predictor (here: </w:t>
      </w:r>
      <w:proofErr w:type="gramStart"/>
      <w:r w:rsidR="004D37F7" w:rsidRPr="004D37F7">
        <w:rPr>
          <w:rFonts w:ascii="Arial" w:hAnsi="Arial" w:cs="Arial"/>
          <w:sz w:val="20"/>
          <w:szCs w:val="20"/>
          <w:lang w:eastAsia="ja-JP"/>
        </w:rPr>
        <w:t>ln(</w:t>
      </w:r>
      <w:proofErr w:type="gramEnd"/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counts)) are centered by reference level and shown as solid lines, their 95% confidence intervals </w:t>
      </w:r>
      <w:r w:rsidR="004D37F7" w:rsidRPr="004D37F7">
        <w:rPr>
          <w:rFonts w:ascii="Arial" w:hAnsi="Arial" w:cs="Arial"/>
          <w:sz w:val="20"/>
          <w:szCs w:val="20"/>
          <w:lang w:eastAsia="ja-JP"/>
        </w:rPr>
        <w:lastRenderedPageBreak/>
        <w:t>as grey shades</w:t>
      </w:r>
      <w:r w:rsidR="00F6081C">
        <w:rPr>
          <w:rFonts w:ascii="Arial" w:hAnsi="Arial" w:cs="Arial"/>
          <w:sz w:val="20"/>
          <w:szCs w:val="20"/>
          <w:lang w:eastAsia="ja-JP"/>
        </w:rPr>
        <w:t xml:space="preserve"> or dashed lines, respectively</w:t>
      </w:r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. Reference levels are group means by </w:t>
      </w:r>
      <w:proofErr w:type="spellStart"/>
      <w:r w:rsidR="004D37F7" w:rsidRPr="004D37F7">
        <w:rPr>
          <w:rFonts w:ascii="Arial" w:hAnsi="Arial" w:cs="Arial"/>
          <w:sz w:val="20"/>
          <w:szCs w:val="20"/>
          <w:lang w:eastAsia="ja-JP"/>
        </w:rPr>
        <w:t>nif</w:t>
      </w:r>
      <w:proofErr w:type="spellEnd"/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 cluster </w:t>
      </w:r>
      <w:r w:rsidR="004D37F7">
        <w:rPr>
          <w:rFonts w:ascii="Arial" w:hAnsi="Arial" w:cs="Arial"/>
          <w:sz w:val="20"/>
          <w:szCs w:val="20"/>
          <w:lang w:eastAsia="ja-JP"/>
        </w:rPr>
        <w:t>for</w:t>
      </w:r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 temporal effects, and the global mean otherwise. With temporal smoothers, </w:t>
      </w:r>
      <w:proofErr w:type="gramStart"/>
      <w:r w:rsidR="004D37F7" w:rsidRPr="004D37F7">
        <w:rPr>
          <w:rFonts w:ascii="Arial" w:hAnsi="Arial" w:cs="Arial"/>
          <w:sz w:val="20"/>
          <w:szCs w:val="20"/>
          <w:lang w:eastAsia="ja-JP"/>
        </w:rPr>
        <w:t>reference levels are marked by a dashed line</w:t>
      </w:r>
      <w:proofErr w:type="gramEnd"/>
      <w:r w:rsidR="004D37F7" w:rsidRPr="004D37F7">
        <w:rPr>
          <w:rFonts w:ascii="Arial" w:hAnsi="Arial" w:cs="Arial"/>
          <w:sz w:val="20"/>
          <w:szCs w:val="20"/>
          <w:lang w:eastAsia="ja-JP"/>
        </w:rPr>
        <w:t>.</w:t>
      </w:r>
    </w:p>
    <w:p w14:paraId="0F4DE0E1" w14:textId="509ECC6D" w:rsidR="00D2752D" w:rsidRPr="006A626F" w:rsidRDefault="0016244B" w:rsidP="00C57495">
      <w:pPr>
        <w:spacing w:line="360" w:lineRule="auto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Figure S4</w:t>
      </w:r>
      <w:r w:rsidR="00D2752D" w:rsidRPr="006A626F">
        <w:rPr>
          <w:rFonts w:ascii="Arial" w:hAnsi="Arial" w:cs="Arial"/>
          <w:sz w:val="20"/>
          <w:szCs w:val="20"/>
          <w:lang w:eastAsia="ja-JP"/>
        </w:rPr>
        <w:t xml:space="preserve">: </w:t>
      </w:r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Conditional responses (i.e., of the effect of interest alone and other effects partialled out) of nifH transcript counts to selected terms of the predictive model. 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Terms are (A) </w:t>
      </w:r>
      <w:proofErr w:type="spellStart"/>
      <w:r w:rsidR="00811CA4">
        <w:rPr>
          <w:rFonts w:ascii="Arial" w:hAnsi="Arial" w:cs="Arial"/>
          <w:sz w:val="20"/>
          <w:szCs w:val="20"/>
          <w:lang w:eastAsia="ja-JP"/>
        </w:rPr>
        <w:t>transcripts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>_Fil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811CA4" w:rsidRPr="00811CA4">
        <w:rPr>
          <w:rFonts w:ascii="Arial" w:hAnsi="Arial" w:cs="Arial"/>
          <w:sz w:val="20"/>
          <w:szCs w:val="20"/>
          <w:lang w:eastAsia="ja-JP"/>
        </w:rPr>
        <w:t>Varied_N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by Day, (B) </w:t>
      </w:r>
      <w:proofErr w:type="spellStart"/>
      <w:r w:rsidR="00811CA4">
        <w:rPr>
          <w:rFonts w:ascii="Arial" w:hAnsi="Arial" w:cs="Arial"/>
          <w:sz w:val="20"/>
          <w:szCs w:val="20"/>
          <w:lang w:eastAsia="ja-JP"/>
        </w:rPr>
        <w:t>transcripts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>_Fil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811CA4" w:rsidRPr="00811CA4">
        <w:rPr>
          <w:rFonts w:ascii="Arial" w:hAnsi="Arial" w:cs="Arial"/>
          <w:sz w:val="20"/>
          <w:szCs w:val="20"/>
          <w:lang w:eastAsia="ja-JP"/>
        </w:rPr>
        <w:t>Varied_P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by Day, (C) </w:t>
      </w:r>
      <w:proofErr w:type="spellStart"/>
      <w:r w:rsidR="00811CA4">
        <w:rPr>
          <w:rFonts w:ascii="Arial" w:hAnsi="Arial" w:cs="Arial"/>
          <w:sz w:val="20"/>
          <w:szCs w:val="20"/>
          <w:lang w:eastAsia="ja-JP"/>
        </w:rPr>
        <w:t>transcripts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>_CR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811CA4" w:rsidRPr="00811CA4">
        <w:rPr>
          <w:rFonts w:ascii="Arial" w:hAnsi="Arial" w:cs="Arial"/>
          <w:sz w:val="20"/>
          <w:szCs w:val="20"/>
          <w:lang w:eastAsia="ja-JP"/>
        </w:rPr>
        <w:t>Varied_N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by Day, (D) </w:t>
      </w:r>
      <w:proofErr w:type="spellStart"/>
      <w:r w:rsidR="00811CA4">
        <w:rPr>
          <w:rFonts w:ascii="Arial" w:hAnsi="Arial" w:cs="Arial"/>
          <w:sz w:val="20"/>
          <w:szCs w:val="20"/>
          <w:lang w:eastAsia="ja-JP"/>
        </w:rPr>
        <w:t>transcripts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>_CR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811CA4" w:rsidRPr="00811CA4">
        <w:rPr>
          <w:rFonts w:ascii="Arial" w:hAnsi="Arial" w:cs="Arial"/>
          <w:sz w:val="20"/>
          <w:szCs w:val="20"/>
          <w:lang w:eastAsia="ja-JP"/>
        </w:rPr>
        <w:t>Varied_P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by Day, (E) </w:t>
      </w:r>
      <w:proofErr w:type="spellStart"/>
      <w:r w:rsidR="00811CA4">
        <w:rPr>
          <w:rFonts w:ascii="Arial" w:hAnsi="Arial" w:cs="Arial"/>
          <w:sz w:val="20"/>
          <w:szCs w:val="20"/>
          <w:lang w:eastAsia="ja-JP"/>
        </w:rPr>
        <w:t>transcripts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>_AO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811CA4" w:rsidRPr="00811CA4">
        <w:rPr>
          <w:rFonts w:ascii="Arial" w:hAnsi="Arial" w:cs="Arial"/>
          <w:sz w:val="20"/>
          <w:szCs w:val="20"/>
          <w:lang w:eastAsia="ja-JP"/>
        </w:rPr>
        <w:t>Varied_N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by Day, (F) </w:t>
      </w:r>
      <w:proofErr w:type="spellStart"/>
      <w:r w:rsidR="00811CA4">
        <w:rPr>
          <w:rFonts w:ascii="Arial" w:hAnsi="Arial" w:cs="Arial"/>
          <w:sz w:val="20"/>
          <w:szCs w:val="20"/>
          <w:lang w:eastAsia="ja-JP"/>
        </w:rPr>
        <w:t>transcripts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>_AO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811CA4" w:rsidRPr="00811CA4">
        <w:rPr>
          <w:rFonts w:ascii="Arial" w:hAnsi="Arial" w:cs="Arial"/>
          <w:sz w:val="20"/>
          <w:szCs w:val="20"/>
          <w:lang w:eastAsia="ja-JP"/>
        </w:rPr>
        <w:t>Varied_P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by Day, (G) </w:t>
      </w:r>
      <w:proofErr w:type="spellStart"/>
      <w:r w:rsidR="00811CA4">
        <w:rPr>
          <w:rFonts w:ascii="Arial" w:hAnsi="Arial" w:cs="Arial"/>
          <w:sz w:val="20"/>
          <w:szCs w:val="20"/>
          <w:lang w:eastAsia="ja-JP"/>
        </w:rPr>
        <w:t>transcripts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>_UA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811CA4" w:rsidRPr="00811CA4">
        <w:rPr>
          <w:rFonts w:ascii="Arial" w:hAnsi="Arial" w:cs="Arial"/>
          <w:sz w:val="20"/>
          <w:szCs w:val="20"/>
          <w:lang w:eastAsia="ja-JP"/>
        </w:rPr>
        <w:t>Varied_N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by Day, (H) </w:t>
      </w:r>
      <w:proofErr w:type="spellStart"/>
      <w:r w:rsidR="00811CA4">
        <w:rPr>
          <w:rFonts w:ascii="Arial" w:hAnsi="Arial" w:cs="Arial"/>
          <w:sz w:val="20"/>
          <w:szCs w:val="20"/>
          <w:lang w:eastAsia="ja-JP"/>
        </w:rPr>
        <w:t>transcripts</w:t>
      </w:r>
      <w:r w:rsidR="00811CA4" w:rsidRPr="00811CA4">
        <w:rPr>
          <w:rFonts w:ascii="Arial" w:hAnsi="Arial" w:cs="Arial"/>
          <w:sz w:val="20"/>
          <w:szCs w:val="20"/>
          <w:lang w:eastAsia="ja-JP"/>
        </w:rPr>
        <w:t>_UA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in </w:t>
      </w:r>
      <w:proofErr w:type="spellStart"/>
      <w:r w:rsidR="00811CA4" w:rsidRPr="00811CA4">
        <w:rPr>
          <w:rFonts w:ascii="Arial" w:hAnsi="Arial" w:cs="Arial"/>
          <w:sz w:val="20"/>
          <w:szCs w:val="20"/>
          <w:lang w:eastAsia="ja-JP"/>
        </w:rPr>
        <w:t>Varied_P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 xml:space="preserve"> by Day, (I) Gene, (J) </w:t>
      </w:r>
      <w:proofErr w:type="spellStart"/>
      <w:r w:rsidR="00811CA4" w:rsidRPr="00811CA4">
        <w:rPr>
          <w:rFonts w:ascii="Arial" w:hAnsi="Arial" w:cs="Arial"/>
          <w:sz w:val="20"/>
          <w:szCs w:val="20"/>
          <w:lang w:eastAsia="ja-JP"/>
        </w:rPr>
        <w:t>Run_ID</w:t>
      </w:r>
      <w:proofErr w:type="spellEnd"/>
      <w:r w:rsidR="00811CA4" w:rsidRPr="00811CA4">
        <w:rPr>
          <w:rFonts w:ascii="Arial" w:hAnsi="Arial" w:cs="Arial"/>
          <w:sz w:val="20"/>
          <w:szCs w:val="20"/>
          <w:lang w:eastAsia="ja-JP"/>
        </w:rPr>
        <w:t>, (K) DON_d2, (L) PO4_d2. Dashes at the bottom of the plots (“rag plot”) denote presence of values.</w:t>
      </w:r>
      <w:r w:rsidR="00F6081C">
        <w:rPr>
          <w:rFonts w:ascii="Arial" w:hAnsi="Arial" w:cs="Arial"/>
          <w:sz w:val="20"/>
          <w:szCs w:val="20"/>
          <w:lang w:eastAsia="ja-JP"/>
        </w:rPr>
        <w:t xml:space="preserve"> </w:t>
      </w:r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Responses at the scale of the linear predictor (here: </w:t>
      </w:r>
      <w:proofErr w:type="gramStart"/>
      <w:r w:rsidR="004D37F7" w:rsidRPr="004D37F7">
        <w:rPr>
          <w:rFonts w:ascii="Arial" w:hAnsi="Arial" w:cs="Arial"/>
          <w:sz w:val="20"/>
          <w:szCs w:val="20"/>
          <w:lang w:eastAsia="ja-JP"/>
        </w:rPr>
        <w:t>ln(</w:t>
      </w:r>
      <w:proofErr w:type="gramEnd"/>
      <w:r w:rsidR="004D37F7" w:rsidRPr="004D37F7">
        <w:rPr>
          <w:rFonts w:ascii="Arial" w:hAnsi="Arial" w:cs="Arial"/>
          <w:sz w:val="20"/>
          <w:szCs w:val="20"/>
          <w:lang w:eastAsia="ja-JP"/>
        </w:rPr>
        <w:t>counts)) are centered by reference level and shown as solid lines, their 95% confidence intervals as grey shades</w:t>
      </w:r>
      <w:r w:rsidR="00F6081C" w:rsidRPr="00F6081C">
        <w:rPr>
          <w:rFonts w:ascii="Arial" w:hAnsi="Arial" w:cs="Arial"/>
          <w:sz w:val="20"/>
          <w:szCs w:val="20"/>
          <w:lang w:eastAsia="ja-JP"/>
        </w:rPr>
        <w:t xml:space="preserve"> or dashed lines, respectively</w:t>
      </w:r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. Reference levels are group means by </w:t>
      </w:r>
      <w:proofErr w:type="spellStart"/>
      <w:r w:rsidR="004D37F7" w:rsidRPr="004D37F7">
        <w:rPr>
          <w:rFonts w:ascii="Arial" w:hAnsi="Arial" w:cs="Arial"/>
          <w:sz w:val="20"/>
          <w:szCs w:val="20"/>
          <w:lang w:eastAsia="ja-JP"/>
        </w:rPr>
        <w:t>nif</w:t>
      </w:r>
      <w:proofErr w:type="spellEnd"/>
      <w:r w:rsidR="004D37F7" w:rsidRPr="004D37F7">
        <w:rPr>
          <w:rFonts w:ascii="Arial" w:hAnsi="Arial" w:cs="Arial"/>
          <w:sz w:val="20"/>
          <w:szCs w:val="20"/>
          <w:lang w:eastAsia="ja-JP"/>
        </w:rPr>
        <w:t xml:space="preserve"> cluster for temporal effects, and the global mean otherwise. With smoothers, </w:t>
      </w:r>
      <w:proofErr w:type="gramStart"/>
      <w:r w:rsidR="004D37F7" w:rsidRPr="004D37F7">
        <w:rPr>
          <w:rFonts w:ascii="Arial" w:hAnsi="Arial" w:cs="Arial"/>
          <w:sz w:val="20"/>
          <w:szCs w:val="20"/>
          <w:lang w:eastAsia="ja-JP"/>
        </w:rPr>
        <w:t>reference levels are marked by a dashed line</w:t>
      </w:r>
      <w:proofErr w:type="gramEnd"/>
      <w:r w:rsidR="004D37F7" w:rsidRPr="004D37F7">
        <w:rPr>
          <w:rFonts w:ascii="Arial" w:hAnsi="Arial" w:cs="Arial"/>
          <w:sz w:val="20"/>
          <w:szCs w:val="20"/>
          <w:lang w:eastAsia="ja-JP"/>
        </w:rPr>
        <w:t>.</w:t>
      </w:r>
    </w:p>
    <w:p w14:paraId="39B8C3CC" w14:textId="77777777" w:rsidR="006F05EB" w:rsidRPr="006A626F" w:rsidRDefault="006F05EB" w:rsidP="006F05EB">
      <w:pPr>
        <w:rPr>
          <w:rFonts w:ascii="Arial" w:hAnsi="Arial" w:cs="Arial"/>
          <w:sz w:val="20"/>
          <w:szCs w:val="20"/>
        </w:rPr>
      </w:pPr>
    </w:p>
    <w:p w14:paraId="003C3B76" w14:textId="77777777" w:rsidR="006F05EB" w:rsidRPr="006A626F" w:rsidRDefault="006F05EB" w:rsidP="006F05E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A626F">
        <w:rPr>
          <w:rFonts w:ascii="Arial" w:hAnsi="Arial" w:cs="Arial"/>
          <w:sz w:val="20"/>
          <w:szCs w:val="20"/>
        </w:rPr>
        <w:t>Table S1: Nominal and measured nutrient concentrations after the addition of nitrate or phosphate to the mesocosms in both experimental runs.</w:t>
      </w:r>
    </w:p>
    <w:tbl>
      <w:tblPr>
        <w:tblpPr w:leftFromText="180" w:rightFromText="180" w:vertAnchor="text" w:horzAnchor="margin" w:tblpY="433"/>
        <w:tblW w:w="1012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72"/>
        <w:gridCol w:w="1435"/>
        <w:gridCol w:w="1060"/>
        <w:gridCol w:w="1140"/>
        <w:gridCol w:w="1060"/>
        <w:gridCol w:w="1101"/>
        <w:gridCol w:w="1131"/>
        <w:gridCol w:w="1060"/>
        <w:gridCol w:w="1060"/>
        <w:gridCol w:w="602"/>
      </w:tblGrid>
      <w:tr w:rsidR="00E07B83" w:rsidRPr="006A626F" w14:paraId="114AFB40" w14:textId="77777777" w:rsidTr="006F05EB">
        <w:trPr>
          <w:trHeight w:val="3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1C1C2E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Run</w:t>
            </w:r>
          </w:p>
          <w:p w14:paraId="215E279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4221C7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Treat ID</w:t>
            </w:r>
          </w:p>
          <w:p w14:paraId="1BAA825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757AC5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3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nom</w:t>
            </w:r>
          </w:p>
          <w:p w14:paraId="797B197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[µ</w:t>
            </w:r>
            <w:proofErr w:type="gramStart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mol</w:t>
            </w:r>
            <w:proofErr w:type="gramEnd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-1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28CA2F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PO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4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3+ 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  <w:p w14:paraId="6854317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[µ</w:t>
            </w:r>
            <w:proofErr w:type="gramStart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mol</w:t>
            </w:r>
            <w:proofErr w:type="gramEnd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-1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0F9D53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SiO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4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nom</w:t>
            </w:r>
          </w:p>
          <w:p w14:paraId="0B75273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[µ</w:t>
            </w:r>
            <w:proofErr w:type="gramStart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mol</w:t>
            </w:r>
            <w:proofErr w:type="gramEnd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-1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86E8EC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N :</w:t>
            </w:r>
            <w:proofErr w:type="gramEnd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 nom</w:t>
            </w:r>
          </w:p>
          <w:p w14:paraId="34690C5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D0AB70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3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</w:t>
            </w:r>
          </w:p>
          <w:p w14:paraId="5F1CC58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[µ</w:t>
            </w:r>
            <w:proofErr w:type="gramStart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mol</w:t>
            </w:r>
            <w:proofErr w:type="gramEnd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L-1]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DD2816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PO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4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3+</w:t>
            </w:r>
          </w:p>
          <w:p w14:paraId="3FBABFC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[µ</w:t>
            </w:r>
            <w:proofErr w:type="gramStart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mol</w:t>
            </w:r>
            <w:proofErr w:type="gramEnd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-1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A5B34A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SiO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4</w:t>
            </w:r>
          </w:p>
          <w:p w14:paraId="17FF562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[µ</w:t>
            </w:r>
            <w:proofErr w:type="gramStart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mol</w:t>
            </w:r>
            <w:proofErr w:type="gramEnd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-1</w:t>
            </w:r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9985F8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>N :</w:t>
            </w:r>
            <w:proofErr w:type="gramEnd"/>
            <w:r w:rsidRPr="006A6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</w:t>
            </w:r>
          </w:p>
          <w:p w14:paraId="259647B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B83" w:rsidRPr="006A626F" w14:paraId="309CD4A3" w14:textId="77777777" w:rsidTr="006F05EB">
        <w:trPr>
          <w:trHeight w:val="195"/>
        </w:trPr>
        <w:tc>
          <w:tcPr>
            <w:tcW w:w="0" w:type="auto"/>
            <w:tcBorders>
              <w:top w:val="doub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49574B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4AB0EE7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 w:rsidR="00E07B83">
              <w:rPr>
                <w:rFonts w:ascii="Arial" w:hAnsi="Arial" w:cs="Arial"/>
                <w:sz w:val="20"/>
                <w:szCs w:val="20"/>
              </w:rPr>
              <w:t>.0N/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167BB3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386EEC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A83E79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1578F4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71F6177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11.52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9EAFC8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0.73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6E7A3C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15.22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F8230F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15.78</w:t>
            </w:r>
          </w:p>
        </w:tc>
      </w:tr>
      <w:tr w:rsidR="00E07B83" w:rsidRPr="006A626F" w14:paraId="7CB99161" w14:textId="77777777" w:rsidTr="006F05EB">
        <w:trPr>
          <w:trHeight w:val="118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B963C7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D99A2FB" w14:textId="77777777" w:rsidR="006F05EB" w:rsidRPr="006A626F" w:rsidRDefault="00E07B83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.0N/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A0E283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C288B5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A762A2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23CC23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FF35E7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67CEF8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1FEBDA7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4BE89C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16.11</w:t>
            </w:r>
          </w:p>
        </w:tc>
      </w:tr>
      <w:tr w:rsidR="00E07B83" w:rsidRPr="006A626F" w14:paraId="26E60113" w14:textId="77777777" w:rsidTr="006F05EB">
        <w:trPr>
          <w:trHeight w:val="182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60B258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4AABC07" w14:textId="77777777" w:rsidR="006F05EB" w:rsidRPr="006A626F" w:rsidRDefault="00E07B83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.0N/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4FC1D4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6FB0FB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897D0A7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32C6E5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A91A0A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FCCDE1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171E84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9E8112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20.47</w:t>
            </w:r>
          </w:p>
        </w:tc>
      </w:tr>
      <w:tr w:rsidR="00E07B83" w:rsidRPr="006A626F" w14:paraId="2F005212" w14:textId="77777777" w:rsidTr="006F05EB">
        <w:trPr>
          <w:trHeight w:val="123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0C3EBF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7402B7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35</w:t>
            </w:r>
            <w:r w:rsidR="00E07B83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10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3CFAC4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111D16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39C191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67A6C2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5.76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194F3B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5.66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A5730A9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DF2BA9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3EDA5D9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5.66</w:t>
            </w:r>
          </w:p>
        </w:tc>
      </w:tr>
      <w:tr w:rsidR="00E07B83" w:rsidRPr="006A626F" w14:paraId="5B605CBB" w14:textId="77777777" w:rsidTr="006F05EB">
        <w:trPr>
          <w:trHeight w:val="188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A59470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E06536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25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3BB307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F3E79E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AD8643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A8A94F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182682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10.74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2E198F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3B754C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B3BACC9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9.39</w:t>
            </w:r>
          </w:p>
        </w:tc>
      </w:tr>
      <w:tr w:rsidR="00E07B83" w:rsidRPr="006A626F" w14:paraId="6B292303" w14:textId="77777777" w:rsidTr="006F05E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AD2573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26988D1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5B2829A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C49557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4618CE2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D665FD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B78901B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B3D2815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437AA6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6905C14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9.95</w:t>
            </w:r>
          </w:p>
        </w:tc>
      </w:tr>
      <w:tr w:rsidR="00E07B83" w:rsidRPr="006A626F" w14:paraId="5D15A65F" w14:textId="77777777" w:rsidTr="006F05E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431095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83F89E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89A00B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71B37B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A3628C7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AC708F9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0B01884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EA9548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11D5B7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E4AF7EA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9.97</w:t>
            </w:r>
          </w:p>
        </w:tc>
      </w:tr>
      <w:tr w:rsidR="00E07B83" w:rsidRPr="006A626F" w14:paraId="78609637" w14:textId="77777777" w:rsidTr="006F05EB">
        <w:trPr>
          <w:trHeight w:val="122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29C669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518DE7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61C324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2C0E77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D7BAF3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CFECB8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6.86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5D290A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A04EAC7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9AFBB6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5B4E92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6.74</w:t>
            </w:r>
          </w:p>
        </w:tc>
      </w:tr>
      <w:tr w:rsidR="00E07B83" w:rsidRPr="006A626F" w14:paraId="18F69B7D" w14:textId="77777777" w:rsidTr="006F05EB">
        <w:trPr>
          <w:trHeight w:val="62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C6FA62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2460ED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N/0.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4B444CA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2BFEECB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838D3C9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721B18B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2A4EE12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C4E1AC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B672AD4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FE2C042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17.64</w:t>
            </w:r>
          </w:p>
        </w:tc>
      </w:tr>
      <w:tr w:rsidR="00E07B83" w:rsidRPr="006A626F" w14:paraId="61B7FF59" w14:textId="77777777" w:rsidTr="006F05EB">
        <w:trPr>
          <w:trHeight w:val="138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7B7D962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31B6FAC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E9808F9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99D437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1316A8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FD03EB1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6.86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301E5F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AE10502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589FF5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A1639E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6.86</w:t>
            </w:r>
          </w:p>
        </w:tc>
      </w:tr>
      <w:tr w:rsidR="00E07B83" w:rsidRPr="006A626F" w14:paraId="2D0F25B9" w14:textId="77777777" w:rsidTr="006F05EB">
        <w:trPr>
          <w:trHeight w:val="202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ACBEE85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C8A4174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EFDD09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A37F55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FCBE531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C2479D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6.86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E64172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0D94DB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B8867B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B007EDA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7.24</w:t>
            </w:r>
          </w:p>
        </w:tc>
      </w:tr>
      <w:tr w:rsidR="00E07B83" w:rsidRPr="006A626F" w14:paraId="4BCF16A7" w14:textId="77777777" w:rsidTr="006F05EB">
        <w:trPr>
          <w:trHeight w:val="119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926EA59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4F91E6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25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40FB5C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9BE3A49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1CEE0E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897DF3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55AB87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46285C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2B28B5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6977779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76.78</w:t>
            </w:r>
          </w:p>
        </w:tc>
      </w:tr>
      <w:tr w:rsidR="00E07B83" w:rsidRPr="006A626F" w14:paraId="2B99FE39" w14:textId="77777777" w:rsidTr="006F05EB">
        <w:trPr>
          <w:trHeight w:val="172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2A4F04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CA2343F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5BB4309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C076459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2A1670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4FA2FF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D0EE7F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FE55195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B77A82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87AD714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69.80</w:t>
            </w:r>
          </w:p>
        </w:tc>
      </w:tr>
      <w:tr w:rsidR="00E07B83" w:rsidRPr="006A626F" w14:paraId="10350E16" w14:textId="77777777" w:rsidTr="006F05EB">
        <w:trPr>
          <w:trHeight w:val="113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DBA900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933FC5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17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65</w:t>
            </w:r>
            <w:r w:rsidR="00E07B83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10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A63638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17.65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1ED088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D6E0E5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22A23B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5A9B93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B34401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E8C620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A99FAB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16.75</w:t>
            </w:r>
          </w:p>
        </w:tc>
      </w:tr>
      <w:tr w:rsidR="00E07B83" w:rsidRPr="006A626F" w14:paraId="5A39EDFF" w14:textId="77777777" w:rsidTr="006F05EB">
        <w:trPr>
          <w:trHeight w:val="17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E6A2B45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A0AE8A2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F8B5E4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0AC91F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767EE1F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926E2BF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3D577C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11.33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F61D914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7D1936F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E11C18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75.77</w:t>
            </w:r>
          </w:p>
        </w:tc>
      </w:tr>
      <w:tr w:rsidR="00E07B83" w:rsidRPr="006A626F" w14:paraId="79A44E21" w14:textId="77777777" w:rsidTr="006F05EB">
        <w:trPr>
          <w:trHeight w:val="28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B6C31F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0C4D062" w14:textId="77777777" w:rsidR="006F05EB" w:rsidRPr="006A626F" w:rsidRDefault="00E07B83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.0N/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97AED6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BF1A1C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FD7C76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40907B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97A5C3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12.58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62FE8C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7011C9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14.51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0B1A218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27.00</w:t>
            </w:r>
          </w:p>
        </w:tc>
      </w:tr>
      <w:tr w:rsidR="00E07B83" w:rsidRPr="006A626F" w14:paraId="7F3A0065" w14:textId="77777777" w:rsidTr="006F05EB">
        <w:trPr>
          <w:trHeight w:val="182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F5638E8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9D1EBEF" w14:textId="77777777" w:rsidR="006F05EB" w:rsidRPr="006A626F" w:rsidRDefault="00E07B83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.0N/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554E68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51C6D1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E91A6A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4B24CD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73A088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8650C2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78F7B4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679F1B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24.32</w:t>
            </w:r>
          </w:p>
        </w:tc>
      </w:tr>
      <w:tr w:rsidR="00E07B83" w:rsidRPr="006A626F" w14:paraId="0AB75D46" w14:textId="77777777" w:rsidTr="006F05EB">
        <w:trPr>
          <w:trHeight w:val="112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F2E0E8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4EFA01D" w14:textId="77777777" w:rsidR="006F05EB" w:rsidRPr="006A626F" w:rsidRDefault="00E07B83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.0N/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7DE615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949E4A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2D6D46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69E801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9A550B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12.61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617670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AD982B8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5787F4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24.72</w:t>
            </w:r>
          </w:p>
        </w:tc>
      </w:tr>
      <w:tr w:rsidR="00E07B83" w:rsidRPr="006A626F" w14:paraId="5175B79E" w14:textId="77777777" w:rsidTr="006F05EB">
        <w:trPr>
          <w:trHeight w:val="175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7820CC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3316A5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35</w:t>
            </w:r>
            <w:r w:rsidR="00E07B83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40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9CA487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04B503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451AE18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C908D3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15.99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08616D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3267E1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6BEE46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44C62C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39.35</w:t>
            </w:r>
          </w:p>
        </w:tc>
      </w:tr>
      <w:tr w:rsidR="00E07B83" w:rsidRPr="006A626F" w14:paraId="01DBB2E6" w14:textId="77777777" w:rsidTr="006F05EB">
        <w:trPr>
          <w:trHeight w:val="117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C120E0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BAFFB87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17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65</w:t>
            </w:r>
            <w:r w:rsidR="00E07B83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10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951489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17.65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E5B1E9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8B2C26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CD9DBC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16.05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CD1A873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18.43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2383C5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26F930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D690B1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23.45</w:t>
            </w:r>
          </w:p>
        </w:tc>
      </w:tr>
      <w:tr w:rsidR="00E07B83" w:rsidRPr="006A626F" w14:paraId="1B232789" w14:textId="77777777" w:rsidTr="006F05EB">
        <w:trPr>
          <w:trHeight w:val="169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46ADBD9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280F9C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20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8FC733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7DC9F9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5E2DD1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B496E0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26.67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B0F3A9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246AAB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C0FE062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81FE86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43.92</w:t>
            </w:r>
          </w:p>
        </w:tc>
      </w:tr>
      <w:tr w:rsidR="00E07B83" w:rsidRPr="006A626F" w14:paraId="48FEA539" w14:textId="77777777" w:rsidTr="006F05EB">
        <w:trPr>
          <w:trHeight w:val="110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EB07921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323AFF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B2293C9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88C65E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D2F221F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43CBDC0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26.67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9485B5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7E43A32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9996F19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E47F13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45.92</w:t>
            </w:r>
          </w:p>
        </w:tc>
      </w:tr>
      <w:tr w:rsidR="00E07B83" w:rsidRPr="006A626F" w14:paraId="3D2F7D31" w14:textId="77777777" w:rsidTr="006F05EB">
        <w:trPr>
          <w:trHeight w:val="187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C15636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B93759C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31399A5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1FA1CB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32C8726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E49A18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26.67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9C5D6D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21.90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5D09F9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F86823A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63EAAE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48.81</w:t>
            </w:r>
          </w:p>
        </w:tc>
      </w:tr>
      <w:tr w:rsidR="00E07B83" w:rsidRPr="006A626F" w14:paraId="54D813AC" w14:textId="77777777" w:rsidTr="006F05E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1E2A4C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ED765C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00</w:t>
            </w:r>
            <w:r w:rsidR="00E07B83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868E2E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AD4AC2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BDE1D67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31AD73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5.33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7BEB71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A83A97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809944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28A0B1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10.38</w:t>
            </w:r>
          </w:p>
        </w:tc>
      </w:tr>
      <w:tr w:rsidR="00E07B83" w:rsidRPr="006A626F" w14:paraId="4307DA8D" w14:textId="77777777" w:rsidTr="006F05EB">
        <w:trPr>
          <w:trHeight w:val="179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0778EA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5A90027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17</w:t>
            </w:r>
            <w:r w:rsidR="00E07B83">
              <w:rPr>
                <w:rFonts w:ascii="Arial" w:hAnsi="Arial" w:cs="Arial"/>
                <w:sz w:val="20"/>
                <w:szCs w:val="20"/>
              </w:rPr>
              <w:t>.65N/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40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F779D54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17.65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ADB779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087AEC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049CB4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44.46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A09719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18.47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7567AD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BB3D95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DA661F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84.31</w:t>
            </w:r>
          </w:p>
        </w:tc>
      </w:tr>
      <w:tr w:rsidR="00E07B83" w:rsidRPr="006A626F" w14:paraId="1C13F667" w14:textId="77777777" w:rsidTr="006F05EB">
        <w:trPr>
          <w:trHeight w:val="109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F582D10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4C5907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A44BE6F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A4A9CEA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B7288C2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3F56CD1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5.33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95C6ED0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A13CFB8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5149B7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14.92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29DD57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9.59</w:t>
            </w:r>
          </w:p>
        </w:tc>
      </w:tr>
      <w:tr w:rsidR="00E07B83" w:rsidRPr="006A626F" w14:paraId="4DAF673C" w14:textId="77777777" w:rsidTr="006F05EB">
        <w:trPr>
          <w:trHeight w:val="172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4E086AA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49AF8E7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84BAB41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9F5C7D7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50033E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3D34874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5.33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B8F84C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3.99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BE66D37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1F88810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6888050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</w:tr>
      <w:tr w:rsidR="00E07B83" w:rsidRPr="006A626F" w14:paraId="59C3AE45" w14:textId="77777777" w:rsidTr="006F05EB">
        <w:trPr>
          <w:trHeight w:val="113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D18516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8F77F6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  <w:r w:rsidR="00E07B83">
              <w:rPr>
                <w:rFonts w:ascii="Arial" w:hAnsi="Arial" w:cs="Arial"/>
                <w:sz w:val="20"/>
                <w:szCs w:val="20"/>
              </w:rPr>
              <w:t>.00N/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 w:rsidR="00E07B8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9DFB25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5C898B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B980676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23CD67A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2.67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2FCD8AB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910E38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7F4750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16.39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8395020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4.52</w:t>
            </w:r>
          </w:p>
        </w:tc>
      </w:tr>
      <w:tr w:rsidR="00E07B83" w:rsidRPr="006A626F" w14:paraId="078BF419" w14:textId="77777777" w:rsidTr="006F05EB">
        <w:trPr>
          <w:trHeight w:val="190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3017451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9D82CCE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</w:t>
            </w:r>
            <w:r w:rsidR="00E07B83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00</w:t>
            </w:r>
            <w:r w:rsidR="00560E00">
              <w:rPr>
                <w:rFonts w:ascii="Arial" w:hAnsi="Arial" w:cs="Arial"/>
                <w:sz w:val="20"/>
                <w:szCs w:val="20"/>
              </w:rPr>
              <w:t>N/</w:t>
            </w:r>
            <w:r w:rsidRPr="006A626F">
              <w:rPr>
                <w:rFonts w:ascii="Arial" w:hAnsi="Arial" w:cs="Arial"/>
                <w:sz w:val="20"/>
                <w:szCs w:val="20"/>
              </w:rPr>
              <w:t>1</w:t>
            </w:r>
            <w:r w:rsidR="00560E00"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03</w:t>
            </w:r>
            <w:r w:rsidR="00560E0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53BAB75" w14:textId="77777777" w:rsidR="006F05EB" w:rsidRPr="006A626F" w:rsidRDefault="006F05EB" w:rsidP="00560E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</w:t>
            </w:r>
            <w:r w:rsidR="00560E0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D2D926D" w14:textId="77777777" w:rsidR="006F05EB" w:rsidRPr="006A626F" w:rsidRDefault="00560E00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8574128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66B6209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5.77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09CF08D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6.69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FC51FAC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85CEA25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F8F4D0F" w14:textId="77777777" w:rsidR="006F05EB" w:rsidRPr="006A626F" w:rsidRDefault="006F05EB" w:rsidP="009539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8.55</w:t>
            </w:r>
          </w:p>
        </w:tc>
      </w:tr>
      <w:tr w:rsidR="00E07B83" w:rsidRPr="006A626F" w14:paraId="4E269234" w14:textId="77777777" w:rsidTr="006F05EB">
        <w:trPr>
          <w:trHeight w:val="106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F2006AD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AACD90A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.00N/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40F2555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417F969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6C7E837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E247339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2.67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7654B9F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412B441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C9A02D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17.64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B6CF602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3.33</w:t>
            </w:r>
          </w:p>
        </w:tc>
      </w:tr>
      <w:tr w:rsidR="00E07B83" w:rsidRPr="006A626F" w14:paraId="3AB12BD7" w14:textId="77777777" w:rsidTr="006F05EB">
        <w:trPr>
          <w:trHeight w:val="6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8C3A8E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532D7B1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.00N/</w:t>
            </w:r>
            <w:r w:rsidRPr="006A626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626F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A89893A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9624D70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B419395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DC7A96C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2.67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FBB7C75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2.71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6A287BE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43E6BF3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15.04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9C020A4" w14:textId="77777777" w:rsidR="00E07B83" w:rsidRPr="006A626F" w:rsidRDefault="00E07B83" w:rsidP="00E07B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6F">
              <w:rPr>
                <w:rFonts w:ascii="Arial" w:hAnsi="Arial" w:cs="Arial"/>
                <w:sz w:val="20"/>
                <w:szCs w:val="20"/>
              </w:rPr>
              <w:t>5.60</w:t>
            </w:r>
          </w:p>
        </w:tc>
      </w:tr>
    </w:tbl>
    <w:p w14:paraId="1F41047F" w14:textId="77777777" w:rsidR="006F05EB" w:rsidRPr="006A626F" w:rsidRDefault="006F05EB" w:rsidP="00C57495">
      <w:pPr>
        <w:spacing w:line="360" w:lineRule="auto"/>
        <w:jc w:val="both"/>
        <w:rPr>
          <w:rFonts w:ascii="Arial" w:hAnsi="Arial" w:cs="Arial"/>
          <w:sz w:val="20"/>
          <w:szCs w:val="20"/>
          <w:lang w:eastAsia="ja-JP"/>
        </w:rPr>
      </w:pPr>
    </w:p>
    <w:sectPr w:rsidR="006F05EB" w:rsidRPr="006A626F" w:rsidSect="00C57495">
      <w:pgSz w:w="12240" w:h="15840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B6"/>
    <w:rsid w:val="00012CEC"/>
    <w:rsid w:val="00073112"/>
    <w:rsid w:val="0016244B"/>
    <w:rsid w:val="001F67A9"/>
    <w:rsid w:val="00276054"/>
    <w:rsid w:val="002B2FAD"/>
    <w:rsid w:val="00392BC0"/>
    <w:rsid w:val="004813F4"/>
    <w:rsid w:val="004D37F7"/>
    <w:rsid w:val="00560E00"/>
    <w:rsid w:val="005C16D5"/>
    <w:rsid w:val="006A626F"/>
    <w:rsid w:val="006F05EB"/>
    <w:rsid w:val="00704C57"/>
    <w:rsid w:val="007112B6"/>
    <w:rsid w:val="007D321A"/>
    <w:rsid w:val="007E5E4E"/>
    <w:rsid w:val="00811CA4"/>
    <w:rsid w:val="00947C46"/>
    <w:rsid w:val="009539D6"/>
    <w:rsid w:val="0097164A"/>
    <w:rsid w:val="00BC7853"/>
    <w:rsid w:val="00C25CA0"/>
    <w:rsid w:val="00C51BB8"/>
    <w:rsid w:val="00C57495"/>
    <w:rsid w:val="00D26188"/>
    <w:rsid w:val="00D2752D"/>
    <w:rsid w:val="00DA34F6"/>
    <w:rsid w:val="00DD7858"/>
    <w:rsid w:val="00E018CD"/>
    <w:rsid w:val="00E045A9"/>
    <w:rsid w:val="00E05AB1"/>
    <w:rsid w:val="00E07B83"/>
    <w:rsid w:val="00E342EE"/>
    <w:rsid w:val="00EE687E"/>
    <w:rsid w:val="00F6081C"/>
    <w:rsid w:val="00F67D3C"/>
    <w:rsid w:val="00F71E57"/>
    <w:rsid w:val="00FE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3BD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qFormat/>
    <w:rsid w:val="007112B6"/>
    <w:pPr>
      <w:keepNext/>
      <w:spacing w:before="240" w:after="60" w:line="240" w:lineRule="auto"/>
      <w:outlineLvl w:val="0"/>
    </w:pPr>
    <w:rPr>
      <w:rFonts w:ascii="Helvetica" w:eastAsia="MS Gothic" w:hAnsi="Helvetica" w:cs="Times New Roman"/>
      <w:b/>
      <w:bCs/>
      <w:kern w:val="32"/>
      <w:sz w:val="24"/>
      <w:szCs w:val="32"/>
      <w:lang w:eastAsia="ja-JP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7112B6"/>
    <w:rPr>
      <w:rFonts w:ascii="Helvetica" w:eastAsia="MS Gothic" w:hAnsi="Helvetica" w:cs="Times New Roman"/>
      <w:b/>
      <w:bCs/>
      <w:kern w:val="32"/>
      <w:sz w:val="24"/>
      <w:szCs w:val="32"/>
      <w:lang w:eastAsia="ja-JP"/>
    </w:rPr>
  </w:style>
  <w:style w:type="character" w:styleId="Zeilennummer">
    <w:name w:val="line number"/>
    <w:basedOn w:val="Absatzstandardschriftart"/>
    <w:uiPriority w:val="99"/>
    <w:semiHidden/>
    <w:unhideWhenUsed/>
    <w:rsid w:val="00C57495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5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5749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704C57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04C57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04C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04C57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04C5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qFormat/>
    <w:rsid w:val="007112B6"/>
    <w:pPr>
      <w:keepNext/>
      <w:spacing w:before="240" w:after="60" w:line="240" w:lineRule="auto"/>
      <w:outlineLvl w:val="0"/>
    </w:pPr>
    <w:rPr>
      <w:rFonts w:ascii="Helvetica" w:eastAsia="MS Gothic" w:hAnsi="Helvetica" w:cs="Times New Roman"/>
      <w:b/>
      <w:bCs/>
      <w:kern w:val="32"/>
      <w:sz w:val="24"/>
      <w:szCs w:val="32"/>
      <w:lang w:eastAsia="ja-JP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7112B6"/>
    <w:rPr>
      <w:rFonts w:ascii="Helvetica" w:eastAsia="MS Gothic" w:hAnsi="Helvetica" w:cs="Times New Roman"/>
      <w:b/>
      <w:bCs/>
      <w:kern w:val="32"/>
      <w:sz w:val="24"/>
      <w:szCs w:val="32"/>
      <w:lang w:eastAsia="ja-JP"/>
    </w:rPr>
  </w:style>
  <w:style w:type="character" w:styleId="Zeilennummer">
    <w:name w:val="line number"/>
    <w:basedOn w:val="Absatzstandardschriftart"/>
    <w:uiPriority w:val="99"/>
    <w:semiHidden/>
    <w:unhideWhenUsed/>
    <w:rsid w:val="00C57495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5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5749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704C57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04C57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04C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04C57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04C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1293</Words>
  <Characters>8152</Characters>
  <Application>Microsoft Macintosh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IFAM</Company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</dc:creator>
  <cp:lastModifiedBy>Judith Meyer</cp:lastModifiedBy>
  <cp:revision>2</cp:revision>
  <dcterms:created xsi:type="dcterms:W3CDTF">2015-05-27T12:44:00Z</dcterms:created>
  <dcterms:modified xsi:type="dcterms:W3CDTF">2015-05-27T12:44:00Z</dcterms:modified>
</cp:coreProperties>
</file>