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  <w:u w:val="single"/>
        </w:rPr>
        <w:t>MS #</w:t>
      </w:r>
      <w:r w:rsidRPr="00D74229">
        <w:rPr>
          <w:rFonts w:ascii="TimesNewRomanPSMT" w:hAnsi="TimesNewRomanPSMT" w:cs="TimesNewRomanPSMT"/>
        </w:rPr>
        <w:t>: bg-2016-139 R2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  <w:u w:val="single"/>
        </w:rPr>
        <w:t>MS Title</w:t>
      </w:r>
      <w:r w:rsidRPr="00D74229">
        <w:rPr>
          <w:rFonts w:ascii="TimesNewRomanPSMT" w:hAnsi="TimesNewRomanPSMT" w:cs="TimesNewRomanPSMT"/>
        </w:rPr>
        <w:t>: Environmental drivers of coccolithophore abundance and calcification across Drake Passage (Southern Ocean)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  <w:u w:val="single"/>
        </w:rPr>
        <w:t>MS Authors</w:t>
      </w:r>
      <w:r w:rsidRPr="00D74229">
        <w:rPr>
          <w:rFonts w:ascii="TimesNewRomanPSMT" w:hAnsi="TimesNewRomanPSMT" w:cs="TimesNewRomanPSMT"/>
        </w:rPr>
        <w:t>: Charalampopoulou et al.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30</w:t>
      </w:r>
      <w:r w:rsidRPr="00D74229">
        <w:rPr>
          <w:rFonts w:ascii="TimesNewRomanPSMT" w:hAnsi="TimesNewRomanPSMT" w:cs="TimesNewRomanPSMT"/>
          <w:vertAlign w:val="superscript"/>
        </w:rPr>
        <w:t>th</w:t>
      </w:r>
      <w:r w:rsidRPr="00D74229">
        <w:rPr>
          <w:rFonts w:ascii="TimesNewRomanPSMT" w:hAnsi="TimesNewRomanPSMT" w:cs="TimesNewRomanPSMT"/>
        </w:rPr>
        <w:t xml:space="preserve"> September 2016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Dear Dr K Suzuki,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 xml:space="preserve">Please find below the response to reviewer 1 and yourself. 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 xml:space="preserve">Best wishes, 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Alex Poulton and co-authors</w:t>
      </w:r>
    </w:p>
    <w:p w:rsid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u w:val="single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u w:val="single"/>
        </w:rPr>
      </w:pPr>
      <w:r w:rsidRPr="00D74229">
        <w:rPr>
          <w:rFonts w:ascii="TimesNewRomanPSMT" w:hAnsi="TimesNewRomanPSMT" w:cs="TimesNewRomanPSMT"/>
          <w:u w:val="single"/>
        </w:rPr>
        <w:t>Referee #1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Charalampopoulou et al. provided a (new) revised high quality and well written version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of the manuscript: “Environmental drivers of coccolithophore abundance and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calcification across Drake Passage (Southern Ocean)”. As I mentioned in the first review,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it is actually a very interesting piece of work.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I went through both reviews (including responses) and checked carefully the new version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of the manuscript, and I consider that the authors took into consideration all the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suggestions provided. Charalampopoulou et al. extensively replied to the majority of the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comments and convincingly rebutted the rest. They even improved by adding updated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information from the Great Calcite Belt (Balch et al., 2016), just published last month.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I was a bit confused with the number lines included in the “response to the Anonymous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Referee #1”, because they do not match with those in the last version of the manuscript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(e.g. in the 2nd response line 550 should be 536, 643 should be 631). However, I do not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think this is relevant.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I would only comment on: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proofErr w:type="gramStart"/>
      <w:r w:rsidRPr="00D74229">
        <w:rPr>
          <w:rFonts w:ascii="TimesNewRomanPSMT" w:hAnsi="TimesNewRomanPSMT" w:cs="TimesNewRomanPSMT"/>
        </w:rPr>
        <w:t>Line 913: Double check if you need “pp.” before the number of pages.</w:t>
      </w:r>
      <w:proofErr w:type="gramEnd"/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1F497D" w:themeColor="text2"/>
        </w:rPr>
      </w:pPr>
      <w:r w:rsidRPr="00D74229">
        <w:rPr>
          <w:rFonts w:ascii="TimesNewRomanPSMT" w:hAnsi="TimesNewRomanPSMT" w:cs="TimesNewRomanPSMT"/>
          <w:color w:val="1F497D" w:themeColor="text2"/>
        </w:rPr>
        <w:t xml:space="preserve">Response: We have no reformatted all the references to follow the </w:t>
      </w:r>
      <w:r w:rsidRPr="00D74229">
        <w:rPr>
          <w:rFonts w:ascii="TimesNewRomanPSMT" w:hAnsi="TimesNewRomanPSMT" w:cs="TimesNewRomanPSMT"/>
          <w:color w:val="1F497D" w:themeColor="text2"/>
        </w:rPr>
        <w:t>Co</w:t>
      </w:r>
      <w:r w:rsidRPr="00D74229">
        <w:rPr>
          <w:rFonts w:ascii="TimesNewRomanPSMT" w:hAnsi="TimesNewRomanPSMT" w:cs="TimesNewRomanPSMT"/>
          <w:color w:val="1F497D" w:themeColor="text2"/>
        </w:rPr>
        <w:t>pernicus Publications References (as asked by the Editor). We apologise for this oversight in the previous drafts of the paper.</w:t>
      </w:r>
    </w:p>
    <w:p w:rsid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lastRenderedPageBreak/>
        <w:t>Line 925: The year is missing.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1F497D" w:themeColor="text2"/>
        </w:rPr>
      </w:pPr>
      <w:r w:rsidRPr="00D74229">
        <w:rPr>
          <w:rFonts w:ascii="TimesNewRomanPSMT" w:hAnsi="TimesNewRomanPSMT" w:cs="TimesNewRomanPSMT"/>
          <w:color w:val="1F497D" w:themeColor="text2"/>
        </w:rPr>
        <w:t>Response: Corrected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Fig. 5: I would enlarge the dashed line from A to D (instead only to C). That will make it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easier for the reader.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1F497D" w:themeColor="text2"/>
        </w:rPr>
      </w:pPr>
      <w:r w:rsidRPr="00D74229">
        <w:rPr>
          <w:rFonts w:ascii="TimesNewRomanPSMT" w:hAnsi="TimesNewRomanPSMT" w:cs="TimesNewRomanPSMT"/>
          <w:color w:val="1F497D" w:themeColor="text2"/>
        </w:rPr>
        <w:t>Response: Done (we made a slight mistake in reformatting the plot that hid the dashed lines from panel D, now corrected).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u w:val="single"/>
        </w:rPr>
      </w:pPr>
      <w:r w:rsidRPr="00D74229">
        <w:rPr>
          <w:rFonts w:ascii="TimesNewRomanPSMT" w:hAnsi="TimesNewRomanPSMT" w:cs="TimesNewRomanPSMT"/>
          <w:u w:val="single"/>
        </w:rPr>
        <w:t>Editor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Below are a few technical corrections.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Line 147: Please use the math symbol “×”, not alphabet “X”.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1F497D" w:themeColor="text2"/>
        </w:rPr>
      </w:pPr>
      <w:r w:rsidRPr="00D74229">
        <w:rPr>
          <w:rFonts w:ascii="TimesNewRomanPSMT" w:hAnsi="TimesNewRomanPSMT" w:cs="TimesNewRomanPSMT"/>
          <w:color w:val="1F497D" w:themeColor="text2"/>
        </w:rPr>
        <w:t>Response: Corrected.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F879EF" w:rsidRDefault="00D74229" w:rsidP="00D7422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 w:rsidRPr="00D74229">
        <w:rPr>
          <w:rFonts w:ascii="TimesNewRomanPSMT" w:hAnsi="TimesNewRomanPSMT" w:cs="TimesNewRomanPSMT"/>
        </w:rPr>
        <w:t>References: Please follow the Copernicus Publications Reference Types described below.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For example, please insert “and” between the last author and the second from the last.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Journal names are generally abbreviated. Also please use comma, not period, before</w:t>
      </w:r>
      <w:r w:rsidRPr="00D74229">
        <w:rPr>
          <w:rFonts w:ascii="TimesNewRomanPSMT" w:hAnsi="TimesNewRomanPSMT" w:cs="TimesNewRomanPSMT"/>
        </w:rPr>
        <w:t xml:space="preserve"> </w:t>
      </w:r>
      <w:r w:rsidRPr="00D74229">
        <w:rPr>
          <w:rFonts w:ascii="TimesNewRomanPSMT" w:hAnsi="TimesNewRomanPSMT" w:cs="TimesNewRomanPSMT"/>
        </w:rPr>
        <w:t>publication year.</w:t>
      </w:r>
    </w:p>
    <w:p w:rsidR="00D74229" w:rsidRPr="00D74229" w:rsidRDefault="00D74229" w:rsidP="00D74229">
      <w:pPr>
        <w:autoSpaceDE w:val="0"/>
        <w:autoSpaceDN w:val="0"/>
        <w:adjustRightInd w:val="0"/>
        <w:spacing w:after="0" w:line="360" w:lineRule="auto"/>
        <w:rPr>
          <w:color w:val="1F497D" w:themeColor="text2"/>
        </w:rPr>
      </w:pPr>
      <w:r w:rsidRPr="00D74229">
        <w:rPr>
          <w:rFonts w:ascii="TimesNewRomanPSMT" w:hAnsi="TimesNewRomanPSMT" w:cs="TimesNewRomanPSMT"/>
          <w:color w:val="1F497D" w:themeColor="text2"/>
        </w:rPr>
        <w:t xml:space="preserve">Response: References have all been reformatted following the </w:t>
      </w:r>
      <w:r w:rsidRPr="00D74229">
        <w:rPr>
          <w:rFonts w:ascii="TimesNewRomanPSMT" w:hAnsi="TimesNewRomanPSMT" w:cs="TimesNewRomanPSMT"/>
          <w:color w:val="1F497D" w:themeColor="text2"/>
        </w:rPr>
        <w:t>Copernicus Publications Reference Types</w:t>
      </w:r>
      <w:r w:rsidRPr="00D74229">
        <w:rPr>
          <w:rFonts w:ascii="TimesNewRomanPSMT" w:hAnsi="TimesNewRomanPSMT" w:cs="TimesNewRomanPSMT"/>
          <w:color w:val="1F497D" w:themeColor="text2"/>
        </w:rPr>
        <w:t xml:space="preserve"> document.</w:t>
      </w:r>
    </w:p>
    <w:sectPr w:rsidR="00D74229" w:rsidRPr="00D7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29"/>
    <w:rsid w:val="00A67A81"/>
    <w:rsid w:val="00D74229"/>
    <w:rsid w:val="00E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Oceanography Centre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Poulton</dc:creator>
  <cp:lastModifiedBy>Alex Poulton</cp:lastModifiedBy>
  <cp:revision>1</cp:revision>
  <dcterms:created xsi:type="dcterms:W3CDTF">2016-09-30T11:31:00Z</dcterms:created>
  <dcterms:modified xsi:type="dcterms:W3CDTF">2016-09-30T11:40:00Z</dcterms:modified>
</cp:coreProperties>
</file>