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02770" w14:textId="6351B69F" w:rsidR="00B4015F" w:rsidRDefault="00AC03C4" w:rsidP="00B4015F">
      <w:pPr>
        <w:pStyle w:val="MStitle"/>
      </w:pPr>
      <w:r>
        <w:rPr>
          <w:sz w:val="32"/>
          <w:szCs w:val="32"/>
        </w:rPr>
        <w:t>A year in the life of a central California kelp forest: physical and biological insights into biogeochemical variability</w:t>
      </w:r>
    </w:p>
    <w:p w14:paraId="6655BDCA" w14:textId="7F321097" w:rsidR="00AC03C4" w:rsidRDefault="00AC03C4" w:rsidP="00AC03C4">
      <w:pPr>
        <w:pStyle w:val="Authors"/>
        <w:rPr>
          <w:vertAlign w:val="superscript"/>
        </w:rPr>
      </w:pPr>
      <w:r>
        <w:t>David A. Koweek</w:t>
      </w:r>
      <w:r w:rsidRPr="00346EFB">
        <w:rPr>
          <w:vertAlign w:val="superscript"/>
        </w:rPr>
        <w:t>1</w:t>
      </w:r>
      <w:proofErr w:type="gramStart"/>
      <w:r w:rsidR="00A72A7A">
        <w:rPr>
          <w:vertAlign w:val="superscript"/>
        </w:rPr>
        <w:t>,*</w:t>
      </w:r>
      <w:proofErr w:type="gramEnd"/>
      <w:r>
        <w:t>, Kerry J. Nickols</w:t>
      </w:r>
      <w:r w:rsidRPr="00346EFB">
        <w:rPr>
          <w:vertAlign w:val="superscript"/>
        </w:rPr>
        <w:t>2,3</w:t>
      </w:r>
      <w:r>
        <w:t>, Paul R. Leary</w:t>
      </w:r>
      <w:r w:rsidRPr="00346EFB">
        <w:rPr>
          <w:vertAlign w:val="superscript"/>
        </w:rPr>
        <w:t>2</w:t>
      </w:r>
      <w:r>
        <w:t>, Steve Y. Litvin</w:t>
      </w:r>
      <w:r w:rsidRPr="00346EFB">
        <w:rPr>
          <w:vertAlign w:val="superscript"/>
        </w:rPr>
        <w:t>2</w:t>
      </w:r>
      <w:r>
        <w:t>, Tom W. Bell</w:t>
      </w:r>
      <w:r w:rsidRPr="007412C8">
        <w:rPr>
          <w:vertAlign w:val="superscript"/>
        </w:rPr>
        <w:t>4</w:t>
      </w:r>
      <w:r>
        <w:t xml:space="preserve">, Timothy </w:t>
      </w:r>
      <w:r w:rsidRPr="008D2106">
        <w:t>Luthin</w:t>
      </w:r>
      <w:r w:rsidRPr="008D2106">
        <w:rPr>
          <w:vertAlign w:val="superscript"/>
        </w:rPr>
        <w:t>1</w:t>
      </w:r>
      <w:r>
        <w:t>, Sarah Lummis</w:t>
      </w:r>
      <w:r w:rsidRPr="00346EFB">
        <w:rPr>
          <w:vertAlign w:val="superscript"/>
        </w:rPr>
        <w:t>2</w:t>
      </w:r>
      <w:r>
        <w:rPr>
          <w:vertAlign w:val="superscript"/>
        </w:rPr>
        <w:t>,</w:t>
      </w:r>
      <w:r w:rsidR="00A72A7A">
        <w:rPr>
          <w:vertAlign w:val="superscript"/>
        </w:rPr>
        <w:t>#</w:t>
      </w:r>
      <w:r>
        <w:t xml:space="preserve">, </w:t>
      </w:r>
      <w:r w:rsidRPr="008D2106">
        <w:t>David</w:t>
      </w:r>
      <w:r>
        <w:t xml:space="preserve"> A. Mucciarone</w:t>
      </w:r>
      <w:r w:rsidRPr="0067014F">
        <w:rPr>
          <w:vertAlign w:val="superscript"/>
        </w:rPr>
        <w:t>1</w:t>
      </w:r>
      <w:r>
        <w:t>, and Robert B. Dunbar</w:t>
      </w:r>
      <w:r w:rsidRPr="00346EFB">
        <w:rPr>
          <w:vertAlign w:val="superscript"/>
        </w:rPr>
        <w:t>1</w:t>
      </w:r>
    </w:p>
    <w:p w14:paraId="025EE0E1" w14:textId="77777777" w:rsidR="00AC03C4" w:rsidRDefault="00B4015F" w:rsidP="00AC03C4">
      <w:pPr>
        <w:pStyle w:val="Affiliation"/>
      </w:pPr>
      <w:r w:rsidRPr="00AC03C4">
        <w:rPr>
          <w:vertAlign w:val="superscript"/>
        </w:rPr>
        <w:t>1</w:t>
      </w:r>
      <w:r w:rsidR="000A1B66" w:rsidRPr="00AC03C4">
        <w:t>Department</w:t>
      </w:r>
      <w:r w:rsidR="00AC03C4" w:rsidRPr="00AC03C4">
        <w:t xml:space="preserve"> of Earth System Science, Stanford University, Stanford, CA 94305</w:t>
      </w:r>
      <w:r w:rsidR="00AC03C4">
        <w:t>, USA</w:t>
      </w:r>
    </w:p>
    <w:p w14:paraId="610807AE" w14:textId="77777777" w:rsidR="00E16DB7" w:rsidRDefault="00AC03C4" w:rsidP="00E16DB7">
      <w:pPr>
        <w:pStyle w:val="Affiliation"/>
      </w:pPr>
      <w:r w:rsidRPr="00AC03C4">
        <w:rPr>
          <w:vertAlign w:val="superscript"/>
        </w:rPr>
        <w:t>2</w:t>
      </w:r>
      <w:r w:rsidRPr="00AC03C4">
        <w:t xml:space="preserve">Department of Biology, Hopkins Marine Station, Stanford </w:t>
      </w:r>
      <w:r>
        <w:t>University</w:t>
      </w:r>
      <w:r w:rsidRPr="00AC03C4">
        <w:t>, Pacific Grove, CA 93950</w:t>
      </w:r>
      <w:r>
        <w:t>, USA</w:t>
      </w:r>
    </w:p>
    <w:p w14:paraId="1B559C3C" w14:textId="77777777" w:rsidR="00E16DB7" w:rsidRDefault="00E16DB7" w:rsidP="00E16DB7">
      <w:pPr>
        <w:pStyle w:val="Affiliation"/>
      </w:pPr>
      <w:r w:rsidRPr="00E16DB7">
        <w:rPr>
          <w:vertAlign w:val="superscript"/>
        </w:rPr>
        <w:t>3</w:t>
      </w:r>
      <w:r w:rsidRPr="00E16DB7">
        <w:t>School of Natural Sciences, California State University Monterey Bay, Seaside, CA 93955</w:t>
      </w:r>
      <w:r>
        <w:t>, USA</w:t>
      </w:r>
    </w:p>
    <w:p w14:paraId="7F97011D" w14:textId="3E576D9B" w:rsidR="00E16DB7" w:rsidRPr="00E16DB7" w:rsidRDefault="00E16DB7" w:rsidP="00E16DB7">
      <w:pPr>
        <w:pStyle w:val="Affiliation"/>
      </w:pPr>
      <w:r w:rsidRPr="00E16DB7">
        <w:rPr>
          <w:vertAlign w:val="superscript"/>
        </w:rPr>
        <w:t>4</w:t>
      </w:r>
      <w:r w:rsidRPr="00E16DB7">
        <w:t>Earth Research Institute, University of California, Santa Barbara, CA 93106, USA</w:t>
      </w:r>
    </w:p>
    <w:p w14:paraId="3178E461" w14:textId="75890F72" w:rsidR="00E16DB7" w:rsidRDefault="00A72A7A" w:rsidP="00E16DB7">
      <w:pPr>
        <w:pStyle w:val="Affiliation"/>
      </w:pPr>
      <w:r>
        <w:rPr>
          <w:vertAlign w:val="superscript"/>
        </w:rPr>
        <w:t>*</w:t>
      </w:r>
      <w:proofErr w:type="gramStart"/>
      <w:r w:rsidR="00E16DB7">
        <w:t>present</w:t>
      </w:r>
      <w:proofErr w:type="gramEnd"/>
      <w:r w:rsidR="00E16DB7">
        <w:t xml:space="preserve"> address: Department of Global Ecology, Carnegie Institution for Science, Stanford, CA 94305, USA</w:t>
      </w:r>
    </w:p>
    <w:p w14:paraId="0F65B06B" w14:textId="40A64C66" w:rsidR="00E16DB7" w:rsidRDefault="00A72A7A" w:rsidP="00E16DB7">
      <w:pPr>
        <w:pStyle w:val="Affiliation"/>
      </w:pPr>
      <w:r>
        <w:rPr>
          <w:vertAlign w:val="superscript"/>
        </w:rPr>
        <w:t>#</w:t>
      </w:r>
      <w:proofErr w:type="gramStart"/>
      <w:r w:rsidR="00E16DB7">
        <w:t>present</w:t>
      </w:r>
      <w:proofErr w:type="gramEnd"/>
      <w:r w:rsidR="00E16DB7">
        <w:t xml:space="preserve"> address: Department of Ecology and Evolutionary Biology, University of California Santa Cruz, Santa Cruz, CA 95060, USA</w:t>
      </w:r>
    </w:p>
    <w:p w14:paraId="294BC9E4" w14:textId="77777777" w:rsidR="00E16DB7" w:rsidRPr="00E16DB7" w:rsidRDefault="00E16DB7" w:rsidP="00E16DB7">
      <w:pPr>
        <w:pStyle w:val="Affiliation"/>
      </w:pPr>
    </w:p>
    <w:p w14:paraId="6416ECA8" w14:textId="137A6127" w:rsidR="00B4015F" w:rsidRDefault="00B4015F" w:rsidP="000A1B66">
      <w:pPr>
        <w:pStyle w:val="Affiliation"/>
      </w:pPr>
    </w:p>
    <w:p w14:paraId="360B98EB" w14:textId="1FC098F4" w:rsidR="000A1B66" w:rsidRDefault="000A1B66" w:rsidP="008E213F">
      <w:pPr>
        <w:pStyle w:val="Correspondence"/>
      </w:pPr>
      <w:r w:rsidRPr="000A1B66">
        <w:rPr>
          <w:i/>
        </w:rPr>
        <w:t>Correspondence to</w:t>
      </w:r>
      <w:r>
        <w:t xml:space="preserve">: </w:t>
      </w:r>
      <w:r w:rsidR="00E16DB7">
        <w:t>David A. Koweek</w:t>
      </w:r>
      <w:r>
        <w:t xml:space="preserve"> (</w:t>
      </w:r>
      <w:r w:rsidR="00A72A7A">
        <w:t>dkoweek@carnegiescience.edu</w:t>
      </w:r>
      <w:r>
        <w:t>)</w:t>
      </w:r>
    </w:p>
    <w:p w14:paraId="4382D439" w14:textId="77777777" w:rsidR="00E16DB7" w:rsidRDefault="000A1B66" w:rsidP="00B4015F">
      <w:r w:rsidRPr="000A1B66">
        <w:rPr>
          <w:b/>
        </w:rPr>
        <w:t>Abstract.</w:t>
      </w:r>
      <w:r>
        <w:t xml:space="preserve"> </w:t>
      </w:r>
    </w:p>
    <w:p w14:paraId="69BB7B06" w14:textId="2554E3DD" w:rsidR="00E16DB7" w:rsidRDefault="00E16DB7" w:rsidP="00B4015F">
      <w:r>
        <w:t xml:space="preserve">Kelp forests are among the world’s most productive marine ecosystems, yet little is known about their biogeochemistry. This study presents a fourteen-month time series (July 2013-August 2014) of surface and benthic dissolved inorganic carbon and total alkalinity measurements, along with accompanying </w:t>
      </w:r>
      <w:proofErr w:type="spellStart"/>
      <w:r>
        <w:t>hydrographic</w:t>
      </w:r>
      <w:proofErr w:type="spellEnd"/>
      <w:r>
        <w:t xml:space="preserve"> measurements, from six locations within a central California kelp forest. We present ranges and patterns of </w:t>
      </w:r>
      <w:r w:rsidRPr="00B211AA">
        <w:t>variability in carbonate chemistry, including pH</w:t>
      </w:r>
      <w:r>
        <w:t xml:space="preserve"> (7.70-8.33)</w:t>
      </w:r>
      <w:r w:rsidRPr="00B211AA">
        <w:t>, pCO</w:t>
      </w:r>
      <w:r w:rsidRPr="00B211AA">
        <w:rPr>
          <w:vertAlign w:val="subscript"/>
        </w:rPr>
        <w:t>2</w:t>
      </w:r>
      <w:r>
        <w:t xml:space="preserve"> (172-952 </w:t>
      </w:r>
      <w:proofErr w:type="spellStart"/>
      <w:r w:rsidRPr="006121CD">
        <w:t>μ</w:t>
      </w:r>
      <w:r>
        <w:t>atm</w:t>
      </w:r>
      <w:proofErr w:type="spellEnd"/>
      <w:r>
        <w:t>)</w:t>
      </w:r>
      <w:r w:rsidRPr="00B211AA">
        <w:t>, and the aragonite saturation state</w:t>
      </w:r>
      <w:r>
        <w:t>,</w:t>
      </w:r>
      <w:r w:rsidRPr="00B211AA">
        <w:t xml:space="preserve"> Ω</w:t>
      </w:r>
      <w:r w:rsidRPr="00B211AA">
        <w:rPr>
          <w:vertAlign w:val="subscript"/>
        </w:rPr>
        <w:t>Ar</w:t>
      </w:r>
      <w:r>
        <w:t xml:space="preserve"> (0.94-3.91</w:t>
      </w:r>
      <w:r w:rsidRPr="00B211AA">
        <w:t>). Surface-to-bottom gradients in CO</w:t>
      </w:r>
      <w:r w:rsidRPr="00B211AA">
        <w:rPr>
          <w:vertAlign w:val="subscript"/>
        </w:rPr>
        <w:t xml:space="preserve">2 </w:t>
      </w:r>
      <w:r w:rsidRPr="00B211AA">
        <w:t>system chemistry were as large as the spatial gradients throughout the bottom of the kelp forest. Dissolved inorganic carbon variability was the main driver of the observed CO</w:t>
      </w:r>
      <w:r w:rsidRPr="00B211AA">
        <w:rPr>
          <w:vertAlign w:val="subscript"/>
        </w:rPr>
        <w:t>2</w:t>
      </w:r>
      <w:r w:rsidRPr="00B211AA">
        <w:t xml:space="preserve"> system variability. The majority of spatial variability in the kelp forest can be explained by advection of cold, dense high CO</w:t>
      </w:r>
      <w:r w:rsidRPr="00B211AA">
        <w:rPr>
          <w:vertAlign w:val="subscript"/>
        </w:rPr>
        <w:t>2</w:t>
      </w:r>
      <w:r w:rsidRPr="00B211AA">
        <w:t xml:space="preserve"> waters into the bottom of the kelp forest, with deeper sites experiencing high CO</w:t>
      </w:r>
      <w:r w:rsidRPr="00B211AA">
        <w:rPr>
          <w:vertAlign w:val="subscript"/>
        </w:rPr>
        <w:t>2</w:t>
      </w:r>
      <w:r w:rsidRPr="00B211AA">
        <w:t xml:space="preserve"> conditions more frequently. Despite the strong imprint of advection on the biogeochemical variability of the kelp forest</w:t>
      </w:r>
      <w:r>
        <w:t xml:space="preserve">, surface waters were </w:t>
      </w:r>
      <w:proofErr w:type="spellStart"/>
      <w:r>
        <w:t>undersaturated</w:t>
      </w:r>
      <w:proofErr w:type="spellEnd"/>
      <w:r>
        <w:t xml:space="preserve"> with CO</w:t>
      </w:r>
      <w:r w:rsidRPr="006B21EF">
        <w:rPr>
          <w:vertAlign w:val="subscript"/>
        </w:rPr>
        <w:t>2</w:t>
      </w:r>
      <w:r>
        <w:t xml:space="preserve"> in the spring through fall, indicative of the strong role of photosynthesis on biogeochemical variability. We emphasize the importance of spatially distributed measurements for developing a process-based understanding of kelp forest ecosystem function in a changing climate.</w:t>
      </w:r>
    </w:p>
    <w:p w14:paraId="03CB1526" w14:textId="5F4C7613" w:rsidR="00C82F79" w:rsidRDefault="006363E5" w:rsidP="000C2974">
      <w:pPr>
        <w:pStyle w:val="Heading1"/>
        <w:spacing w:line="360" w:lineRule="auto"/>
      </w:pPr>
      <w:r>
        <w:t xml:space="preserve">1. </w:t>
      </w:r>
      <w:r w:rsidR="00E16DB7">
        <w:t>Introduction</w:t>
      </w:r>
    </w:p>
    <w:p w14:paraId="01976DFD" w14:textId="77777777" w:rsidR="006363E5" w:rsidRPr="007546A6" w:rsidRDefault="006363E5" w:rsidP="000C2974">
      <w:r>
        <w:rPr>
          <w:b/>
        </w:rPr>
        <w:tab/>
      </w:r>
      <w:r>
        <w:t xml:space="preserve">Kelp forests are found along rocky coastlines in temperate-to-sub-polar coastal regions throughout the world’s oceans. Kelp are important foundation species that support diverse biological communities, including invertebrates, fishes, and marine mammals through their creation of complex, three-dimensional biological habitat and the provisioning of carbon and </w:t>
      </w:r>
      <w:r w:rsidRPr="007546A6">
        <w:t xml:space="preserve">nutrients which magnify secondary production in the coastal zone </w:t>
      </w:r>
      <w:r w:rsidRPr="007546A6">
        <w:fldChar w:fldCharType="begin" w:fldLock="1"/>
      </w:r>
      <w:r w:rsidRPr="007546A6">
        <w:instrText>ADDIN CSL_CITATION { "citationItems" : [ { "id" : "ITEM-1", "itemData" : { "DOI" : "10.1017/S0376892902000322", "ISSN" : "0376-8929", "author" : [ { "dropping-particle" : "", "family" : "Steneck", "given" : "Robert S.", "non-dropping-particle" : "", "parse-names" : false, "suffix" : "" }, { "dropping-particle" : "", "family" : "Graham", "given" : "M. H.", "non-dropping-particle" : "", "parse-names" : false, "suffix" : "" }, { "dropping-particle" : "", "family" : "Bourque", "given" : "Bruce J.", "non-dropping-particle" : "", "parse-names" : false, "suffix" : "" }, { "dropping-particle" : "", "family" : "Corbett", "given" : "Debbie", "non-dropping-particle" : "", "parse-names" : false, "suffix" : "" }, { "dropping-particle" : "", "family" : "Erlandson", "given" : "Jon M.", "non-dropping-particle" : "", "parse-names" : false, "suffix" : "" }, { "dropping-particle" : "", "family" : "Estes", "given" : "James A", "non-dropping-particle" : "", "parse-names" : false, "suffix" : "" }, { "dropping-particle" : "", "family" : "Tegner", "given" : "Mia J.", "non-dropping-particle" : "", "parse-names" : false, "suffix" : "" } ], "container-title" : "Environmental Conservation", "id" : "ITEM-1", "issue" : "04", "issued" : { "date-parts" : [ [ "2002", "2", "19" ] ] }, "note" : "Steneck et al. 2002-Environmental Conservation-kelp forest overview: resilience, biodiversity, and their future \n\u00a0\u00a0\u00a0\u00a0\u00a0\u00a0\u00a0\u00a0\u00a0\u00a0\u00a0 Latitudinal distribution of kelp forests physiologically constrained by light at high latitudes and by nutrients and water temperatures at low latitudes. Overfishing greatest threat=&amp;gt; explosion in herbivore populations (ex: sea urchins) which each kelp. 3 main types of kelp; Macrocystis is the dominant \u2018canopy\u2019 kelp. Kelp not too taxonomically diverse. Only 20 species in 16 genera. Kelp support more biodiverse communities than their terrestrial counterparts. Kelp power coastal food webs through detrital leaves. Three processes that drive kelp forest development: recruitment, growth and competition. El Ninos halt coastal upwelling=&amp;gt;warmer water and lower nutrients=&amp;gt;kelp death. At mid-latitudes (40-60 deg), kelp less likely to face physical stress (temperature, light, nutrients) and more likely to be threatened by urchin herbivory. Herbivory problems much more common in N. Hemisphere. Three case studies of kelp forest ecosystems which have long experienced human contact: west Aleutian islands, NW Atlantic, southern California. Aleutians-kelp declined with otter hunting, rebounded in 1960s with otter protection, now declining again because otters hunted by orcas since seals and sea lions not in abundance for orcas to eat (has allowed sea urchins to proliferate again). NW Atlantic (Gulf of Main and Nova Scotia)-cod fishery deplete apex predator in the ecosystem=&amp;gt; urchins flourishing and decline in kelp forest. Opening of urchin fishery has helped kelp rebound. Increased kelp abundance promoted settlement by crabs-now crabs wipeout urchin populations=&amp;gt;new apex predator in the ecosystem (functionally equivalent to cod or otter). S. California-otters removed from ecosystem in early 1800s, but declines in kelp forest not observed for another ~150 years, probably due to buffering influence of alternate predators (such as the sheephead and spiny lobsters). Mid- 20th century-fishing began on sheepheads and spiny lobsters. Loss of predators, along with El Nino effects and local human stressors=&amp;gt;urchin barrens in 1950s and 1960s. Rapidity of phase shifts after loss of urchin predators depends on redundancy in the ecosystem. Water quality declines from point sources don\u2019t seem to lead to much kelp loss. Top down losses from herbivory (urchins) seem more important. Kelp modify their physical environment: dampen wave energy and shading the sea floor with their canopy. ", "page" : "436-459", "title" : "Kelp forest ecosystems: biodiversity, stability, resilience and future", "type" : "article-journal", "volume" : "29" }, "uris" : [ "http://www.mendeley.com/documents/?uuid=710ae533-5a75-437b-ac4f-b3f8a5b82888" ] } ], "mendeley" : { "formattedCitation" : "(Steneck et al., 2002)", "plainTextFormattedCitation" : "(Steneck et al., 2002)", "previouslyFormattedCitation" : "(Steneck et al., 2002)" }, "properties" : { "noteIndex" : 0 }, "schema" : "https://github.com/citation-style-language/schema/raw/master/csl-citation.json" }</w:instrText>
      </w:r>
      <w:r w:rsidRPr="007546A6">
        <w:fldChar w:fldCharType="separate"/>
      </w:r>
      <w:r w:rsidRPr="007546A6">
        <w:rPr>
          <w:noProof/>
        </w:rPr>
        <w:t>(Steneck et al., 2002)</w:t>
      </w:r>
      <w:r w:rsidRPr="007546A6">
        <w:fldChar w:fldCharType="end"/>
      </w:r>
      <w:r w:rsidRPr="007546A6">
        <w:t xml:space="preserve">. Kelp forest ecology has been a </w:t>
      </w:r>
      <w:r w:rsidRPr="007546A6">
        <w:lastRenderedPageBreak/>
        <w:t xml:space="preserve">focus of study since the early twentieth century, largely due to its importance as an ecologically rich habitat </w:t>
      </w:r>
      <w:r w:rsidRPr="007546A6">
        <w:fldChar w:fldCharType="begin" w:fldLock="1"/>
      </w:r>
      <w:r w:rsidRPr="007546A6">
        <w:instrText>ADDIN CSL_CITATION { "citationItems" : [ { "id" : "ITEM-1", "itemData" : { "abstract" : "The giant kelp Macrocystis is the world\u2019s largest benthic organism and most widely distributed kelp taxon, serving as the foundation for diverse and energy-rich habitats that are of great ecological and economical importance. Although the basic and applied literature on Macro- cystis is extensive and multinational, studies of large Macrocystis forests in the northeastern Pacific have received the greatest attention. This review synthesises the existing Macrocystis literature into a more global perspective. During the last 20 yr, the primary literature has shifted from descriptive and experimental studies of local Macrocystis distribution, abundance and population and commu- nity structure (e.g., competition and herbivory) to comprehensive investigations of Macrocystis life history, dispersal, recruitment, physiology and broad-scale variability in population and community processes. Ample evidence now suggests that the genus is monospecific. Due to its highly variable physiology and life history, Macrocystis occupies a wide variety of environments (intertidal to 60+ m, boreal to warm temperate) and sporophytes take on a variety of morphological forms. Macrocystis sporophytes are highly responsive to environmental variability, resulting in differential population dynamics and effects of Macrocystis on its local environment. Within the large subtidal giant kelp forests of southern California, Macrocystis sporophytes live long, form extensive surface canopies that shade the substratum and dampen currents, and produce and retain copious amounts of reproductive propagules. The majority of subtidal Macrocystis populations worldwide, however, are small, narrow, fringing forests that are productive and modify environmental resources (e.g., light), yet are more dynamic than their large southern California counterparts with local recruitment probably resulting from remote propagule production. When intertidal, Macrocystis populations exhibit vegetative propagation. Growth of high-latitude Macrocystis sporophytes is seasonal, coin- cident with temporal variability in insolation, whereas growth at low latitudes tracks more episodic variability in nutrient delivery. Although Macrocystis habitat and energy provision varies with such ecotypic variability in morphology and productivity, the few available studies indicate that Macrocystis -associated communities are universally diverse and productive. Furthermore, temporal and spatial variability in the structure and dyn\u2026", "author" : [ { "dropping-particle" : "", "family" : "Graham", "given" : "Michael H.", "non-dropping-particle" : "", "parse-names" : false, "suffix" : "" }, { "dropping-particle" : "", "family" : "V\u00e1squez", "given" : "Julio A.", "non-dropping-particle" : "", "parse-names" : false, "suffix" : "" }, { "dropping-particle" : "", "family" : "Buschmann", "given" : "Alejandro H.", "non-dropping-particle" : "", "parse-names" : false, "suffix" : "" } ], "container-title" : "Oceanography and Marine Biology: An Annual Review", "editor" : [ { "dropping-particle" : "", "family" : "Gibson", "given" : "R.N.", "non-dropping-particle" : "", "parse-names" : false, "suffix" : "" }, { "dropping-particle" : "", "family" : "Atkinson", "given" : "R.J.A", "non-dropping-particle" : "", "parse-names" : false, "suffix" : "" }, { "dropping-particle" : "", "family" : "Gordon", "given" : "J.D.M.", "non-dropping-particle" : "", "parse-names" : false, "suffix" : "" } ], "id" : "ITEM-1", "issued" : { "date-parts" : [ [ "2007" ] ] }, "page" : "39-88", "publisher" : "Taylor and Francis", "title" : "Global ecology of the giant kelp Macrocystis: from ecotypes to ecosystems", "type" : "chapter", "volume" : "45" }, "uris" : [ "http://www.mendeley.com/documents/?uuid=c873f893-b519-4509-b540-faf04c66f036" ] } ], "mendeley" : { "formattedCitation" : "(Graham et al., 2007)", "manualFormatting" : "(as reviewed in Graham et al. 2007)", "plainTextFormattedCitation" : "(Graham et al., 2007)", "previouslyFormattedCitation" : "(Graham et al., 2007)" }, "properties" : { "noteIndex" : 0 }, "schema" : "https://github.com/citation-style-language/schema/raw/master/csl-citation.json" }</w:instrText>
      </w:r>
      <w:r w:rsidRPr="007546A6">
        <w:fldChar w:fldCharType="separate"/>
      </w:r>
      <w:r w:rsidRPr="007546A6">
        <w:rPr>
          <w:noProof/>
        </w:rPr>
        <w:t>(as reviewed in Graham et al. 2007)</w:t>
      </w:r>
      <w:r w:rsidRPr="007546A6">
        <w:fldChar w:fldCharType="end"/>
      </w:r>
      <w:r w:rsidRPr="007546A6">
        <w:t xml:space="preserve">. </w:t>
      </w:r>
    </w:p>
    <w:p w14:paraId="296344EC" w14:textId="08262FE2" w:rsidR="006363E5" w:rsidRDefault="006363E5" w:rsidP="000C2974">
      <w:r>
        <w:tab/>
        <w:t xml:space="preserve">Kelp (including </w:t>
      </w:r>
      <w:r>
        <w:rPr>
          <w:i/>
        </w:rPr>
        <w:t>Ecklonia spp., Laminaria spp., and Macrocystis spp.</w:t>
      </w:r>
      <w:r>
        <w:t xml:space="preserve">) forests are among the most productive marine ecosystems </w:t>
      </w:r>
      <w:r>
        <w:fldChar w:fldCharType="begin" w:fldLock="1"/>
      </w:r>
      <w:r>
        <w:instrText>ADDIN CSL_CITATION { "citationItems" : [ { "id" : "ITEM-1", "itemData" : { "ISBN" : "0520047346", "author" : [ { "dropping-particle" : "", "family" : "Mann", "given" : "Kenneth Henry", "non-dropping-particle" : "", "parse-names" : false, "suffix" : "" } ], "id" : "ITEM-1", "issued" : { "date-parts" : [ [ "1982" ] ] }, "number-of-pages" : "322", "publisher" : "University of California Press", "title" : "Ecology of Coastal Waters: A Systems Approach", "type" : "book" }, "uris" : [ "http://www.mendeley.com/documents/?uuid=8dcefdf2-b5cb-4351-a91f-db2a70b6642b" ] } ], "mendeley" : { "formattedCitation" : "(Mann, 1982)", "plainTextFormattedCitation" : "(Mann, 1982)", "previouslyFormattedCitation" : "(Mann, 1982)" }, "properties" : { "noteIndex" : 0 }, "schema" : "https://github.com/citation-style-language/schema/raw/master/csl-citation.json" }</w:instrText>
      </w:r>
      <w:r>
        <w:fldChar w:fldCharType="separate"/>
      </w:r>
      <w:r w:rsidRPr="000447F9">
        <w:rPr>
          <w:noProof/>
        </w:rPr>
        <w:t>(Mann, 1982)</w:t>
      </w:r>
      <w:r>
        <w:fldChar w:fldCharType="end"/>
      </w:r>
      <w:r>
        <w:t>, with linear extension rates of kelp fronds that can range from 2-14 cm d</w:t>
      </w:r>
      <w:r w:rsidRPr="00725BF6">
        <w:rPr>
          <w:vertAlign w:val="superscript"/>
        </w:rPr>
        <w:t>-1</w:t>
      </w:r>
      <w:r>
        <w:t xml:space="preserve"> </w:t>
      </w:r>
      <w:r>
        <w:fldChar w:fldCharType="begin" w:fldLock="1"/>
      </w:r>
      <w:r>
        <w:instrText>ADDIN CSL_CITATION { "citationItems" : [ { "id" : "ITEM-1", "itemData" : { "abstract" : "The giant kelp Macrocystis is the world\u2019s largest benthic organism and most widely distributed kelp taxon, serving as the foundation for diverse and energy-rich habitats that are of great ecological and economical importance. Although the basic and applied literature on Macro- cystis is extensive and multinational, studies of large Macrocystis forests in the northeastern Pacific have received the greatest attention. This review synthesises the existing Macrocystis literature into a more global perspective. During the last 20 yr, the primary literature has shifted from descriptive and experimental studies of local Macrocystis distribution, abundance and population and commu- nity structure (e.g., competition and herbivory) to comprehensive investigations of Macrocystis life history, dispersal, recruitment, physiology and broad-scale variability in population and community processes. Ample evidence now suggests that the genus is monospecific. Due to its highly variable physiology and life history, Macrocystis occupies a wide variety of environments (intertidal to 60+ m, boreal to warm temperate) and sporophytes take on a variety of morphological forms. Macrocystis sporophytes are highly responsive to environmental variability, resulting in differential population dynamics and effects of Macrocystis on its local environment. Within the large subtidal giant kelp forests of southern California, Macrocystis sporophytes live long, form extensive surface canopies that shade the substratum and dampen currents, and produce and retain copious amounts of reproductive propagules. The majority of subtidal Macrocystis populations worldwide, however, are small, narrow, fringing forests that are productive and modify environmental resources (e.g., light), yet are more dynamic than their large southern California counterparts with local recruitment probably resulting from remote propagule production. When intertidal, Macrocystis populations exhibit vegetative propagation. Growth of high-latitude Macrocystis sporophytes is seasonal, coin- cident with temporal variability in insolation, whereas growth at low latitudes tracks more episodic variability in nutrient delivery. Although Macrocystis habitat and energy provision varies with such ecotypic variability in morphology and productivity, the few available studies indicate that Macrocystis -associated communities are universally diverse and productive. Furthermore, temporal and spatial variability in the structure and dyn\u2026", "author" : [ { "dropping-particle" : "", "family" : "Graham", "given" : "Michael H.", "non-dropping-particle" : "", "parse-names" : false, "suffix" : "" }, { "dropping-particle" : "", "family" : "V\u00e1squez", "given" : "Julio A.", "non-dropping-particle" : "", "parse-names" : false, "suffix" : "" }, { "dropping-particle" : "", "family" : "Buschmann", "given" : "Alejandro H.", "non-dropping-particle" : "", "parse-names" : false, "suffix" : "" } ], "container-title" : "Oceanography and Marine Biology: An Annual Review", "editor" : [ { "dropping-particle" : "", "family" : "Gibson", "given" : "R.N.", "non-dropping-particle" : "", "parse-names" : false, "suffix" : "" }, { "dropping-particle" : "", "family" : "Atkinson", "given" : "R.J.A", "non-dropping-particle" : "", "parse-names" : false, "suffix" : "" }, { "dropping-particle" : "", "family" : "Gordon", "given" : "J.D.M.", "non-dropping-particle" : "", "parse-names" : false, "suffix" : "" } ], "id" : "ITEM-1", "issued" : { "date-parts" : [ [ "2007" ] ] }, "page" : "39-88", "publisher" : "Taylor and Francis", "title" : "Global ecology of the giant kelp Macrocystis: from ecotypes to ecosystems", "type" : "chapter", "volume" : "45" }, "uris" : [ "http://www.mendeley.com/documents/?uuid=c873f893-b519-4509-b540-faf04c66f036" ] } ], "mendeley" : { "formattedCitation" : "(Graham et al., 2007)", "plainTextFormattedCitation" : "(Graham et al., 2007)", "previouslyFormattedCitation" : "(Graham et al., 2007)" }, "properties" : { "noteIndex" : 0 }, "schema" : "https://github.com/citation-style-language/schema/raw/master/csl-citation.json" }</w:instrText>
      </w:r>
      <w:r>
        <w:fldChar w:fldCharType="separate"/>
      </w:r>
      <w:r w:rsidRPr="000447F9">
        <w:rPr>
          <w:noProof/>
        </w:rPr>
        <w:t>(Graham et al., 2007)</w:t>
      </w:r>
      <w:r>
        <w:fldChar w:fldCharType="end"/>
      </w:r>
      <w:r>
        <w:t>. Productivity rates vary depending upon the geographic region and species of consideration, but generally range from 600-1500 g C m</w:t>
      </w:r>
      <w:r w:rsidRPr="00056C72">
        <w:rPr>
          <w:vertAlign w:val="superscript"/>
        </w:rPr>
        <w:t>-2</w:t>
      </w:r>
      <w:r>
        <w:t xml:space="preserve"> yr</w:t>
      </w:r>
      <w:r w:rsidRPr="00056C72">
        <w:rPr>
          <w:vertAlign w:val="superscript"/>
        </w:rPr>
        <w:t>-1</w:t>
      </w:r>
      <w:r>
        <w:t xml:space="preserve"> </w:t>
      </w:r>
      <w:r>
        <w:fldChar w:fldCharType="begin" w:fldLock="1"/>
      </w:r>
      <w:r>
        <w:instrText>ADDIN CSL_CITATION { "citationItems" : [ { "id" : "ITEM-1", "itemData" : { "ISBN" : "0520047346", "author" : [ { "dropping-particle" : "", "family" : "Mann", "given" : "Kenneth Henry", "non-dropping-particle" : "", "parse-names" : false, "suffix" : "" } ], "id" : "ITEM-1", "issued" : { "date-parts" : [ [ "1982" ] ] }, "number-of-pages" : "322", "publisher" : "University of California Press", "title" : "Ecology of Coastal Waters: A Systems Approach", "type" : "book" }, "uris" : [ "http://www.mendeley.com/documents/?uuid=8dcefdf2-b5cb-4351-a91f-db2a70b6642b" ] } ], "mendeley" : { "formattedCitation" : "(Mann, 1982)", "plainTextFormattedCitation" : "(Mann, 1982)", "previouslyFormattedCitation" : "(Mann, 1982)" }, "properties" : { "noteIndex" : 0 }, "schema" : "https://github.com/citation-style-language/schema/raw/master/csl-citation.json" }</w:instrText>
      </w:r>
      <w:r>
        <w:fldChar w:fldCharType="separate"/>
      </w:r>
      <w:r w:rsidRPr="000447F9">
        <w:rPr>
          <w:noProof/>
        </w:rPr>
        <w:t>(Mann, 1982)</w:t>
      </w:r>
      <w:r>
        <w:fldChar w:fldCharType="end"/>
      </w:r>
      <w:r>
        <w:t>, although they have been documented to reach up to 3400 g C m</w:t>
      </w:r>
      <w:r w:rsidRPr="00056C72">
        <w:rPr>
          <w:vertAlign w:val="superscript"/>
        </w:rPr>
        <w:t>-2</w:t>
      </w:r>
      <w:r>
        <w:t xml:space="preserve"> yr</w:t>
      </w:r>
      <w:r w:rsidRPr="00056C72">
        <w:rPr>
          <w:vertAlign w:val="superscript"/>
        </w:rPr>
        <w:t>-1</w:t>
      </w:r>
      <w:r>
        <w:t xml:space="preserve"> </w:t>
      </w:r>
      <w:r>
        <w:fldChar w:fldCharType="begin" w:fldLock="1"/>
      </w:r>
      <w:r>
        <w:instrText>ADDIN CSL_CITATION { "citationItems" : [ { "id" : "ITEM-1", "itemData" : { "author" : [ { "dropping-particle" : "", "family" : "Jackson", "given" : "George A", "non-dropping-particle" : "", "parse-names" : false, "suffix" : "" } ], "container-title" : "Limnology and Oceanography", "id" : "ITEM-1", "issue" : "6", "issued" : { "date-parts" : [ [ "1977" ] ] }, "note" : "Jackson 1977-L&amp;amp;O-Nutrients in a southern CA kelp forest \u00a0\u00a0\u00a0\u00a0\u00a0\u00a0\u00a0\u00a0\u00a0\u00a0\u00a0 \nStudy focused on Pt. Loma kelp forest in San Diego (8km latitude x 1km longitude). Kelp forest can become N-limited. Max P values recorded at 0.8 uM, max NO3- at 4.5uM on 27 May 1975. \u00a0Variations in the height of the thermocline attributed to internal waves. Using Si as a tracer for phytoplankton vs. M. pyrifera uptake (kelp can\u2019t uptake Si). Pt Loma nutrient distributions somewhat influenced by San Diego sewer outfall. Oxyen:N uptake ratios provided for nitrate and ammonium. Lots of delta O2: delta N plots-good for thinking about nutrient stoichiometry. Nitrogen uptake higher during periods of higher nitrate concentrations. Nutrient delivery to plants determined not only by ambient nutrient concentrations, but also by mixing dynamics (i.e. boundary layer thickness).", "page" : "979-995", "title" : "Nutrients and production of giant kelp, Macrocystis pyrifera, off southern California", "type" : "article-journal", "volume" : "22" }, "uris" : [ "http://www.mendeley.com/documents/?uuid=99709133-ca30-48ca-b9f8-21cff639d4d6" ] } ], "mendeley" : { "formattedCitation" : "(Jackson, 1977)", "plainTextFormattedCitation" : "(Jackson, 1977)", "previouslyFormattedCitation" : "(Jackson, 1977)" }, "properties" : { "noteIndex" : 0 }, "schema" : "https://github.com/citation-style-language/schema/raw/master/csl-citation.json" }</w:instrText>
      </w:r>
      <w:r>
        <w:fldChar w:fldCharType="separate"/>
      </w:r>
      <w:r w:rsidRPr="00B9631E">
        <w:rPr>
          <w:noProof/>
        </w:rPr>
        <w:t>(Jackson, 1977)</w:t>
      </w:r>
      <w:r>
        <w:fldChar w:fldCharType="end"/>
      </w:r>
      <w:r>
        <w:t xml:space="preserve">. The high productivity in kelp forests impacts the chemical properties of the surrounding water through the uptake and release of dissolved inorganic carbon (DIC) and dissolved nutrients (nitrate and phosphate). Calcification and </w:t>
      </w:r>
      <w:r w:rsidRPr="002E1296">
        <w:t>dissolutio</w:t>
      </w:r>
      <w:r w:rsidRPr="002E1296">
        <w:rPr>
          <w:szCs w:val="20"/>
        </w:rPr>
        <w:t xml:space="preserve">n </w:t>
      </w:r>
      <w:r w:rsidR="002E1296" w:rsidRPr="002E1296">
        <w:rPr>
          <w:szCs w:val="20"/>
        </w:rPr>
        <w:t xml:space="preserve">of </w:t>
      </w:r>
      <w:r w:rsidR="002E1296" w:rsidRPr="003B40AA">
        <w:rPr>
          <w:szCs w:val="20"/>
        </w:rPr>
        <w:t>kelp-associated organisms, especially shelled invertebrates</w:t>
      </w:r>
      <w:r w:rsidR="002E1296">
        <w:rPr>
          <w:szCs w:val="20"/>
        </w:rPr>
        <w:t>,</w:t>
      </w:r>
      <w:r w:rsidR="002E1296" w:rsidRPr="002E1296">
        <w:rPr>
          <w:szCs w:val="20"/>
        </w:rPr>
        <w:t xml:space="preserve"> </w:t>
      </w:r>
      <w:r w:rsidRPr="002E1296">
        <w:rPr>
          <w:szCs w:val="20"/>
        </w:rPr>
        <w:t>m</w:t>
      </w:r>
      <w:r>
        <w:t>odify the water chemistry through the uptake and release of carbonate and bicarbonate ions, which modify the total alkalinity (TA) and DIC. Air/sea gas exchange further modifies the DIC through exchange of CO</w:t>
      </w:r>
      <w:r w:rsidRPr="00766753">
        <w:rPr>
          <w:vertAlign w:val="subscript"/>
        </w:rPr>
        <w:t>2</w:t>
      </w:r>
      <w:r>
        <w:t>. In addition, in the upwelling zones that support kelp forests, carbon system chemistry undergoes large fluctuations due to highly dynamic regional-scale advection of high CO</w:t>
      </w:r>
      <w:r w:rsidRPr="00B9631E">
        <w:rPr>
          <w:vertAlign w:val="subscript"/>
        </w:rPr>
        <w:t>2</w:t>
      </w:r>
      <w:r>
        <w:t xml:space="preserve"> deep waters </w:t>
      </w:r>
      <w:r>
        <w:fldChar w:fldCharType="begin" w:fldLock="1"/>
      </w:r>
      <w:r>
        <w:instrText>ADDIN CSL_CITATION { "citationItems" : [ { "id" : "ITEM-1", "itemData" : { "DOI" : "10.1016/j.csr.2012.06.009", "ISSN" : "02784343", "abstract" : "A decade-long time series recorded in Central California demonstrates that a shallow, near-shore environment (17. m depth) is regularly inundated with pulses of cold, hypoxic and low-pH water. During these episodes, oxygen can drop to physiologically stressful levels, and pH can reach values that potentially result in dissolution of calcium carbonate. Pulses of the greatest intensity arose at the onset of the spring upwelling season, and fluctuations were strongly semidiurnal and diurnal. Arrival of cold, hypoxic water on the inner shelf appears to be driven by tidal-frequency internal waves pushing deep, upwelled water into nearshore habitats. We found no relationship between the timing of low-oxygen events and the diel solar cycle. These observations are consistent with the interpretation that hypoxic water is advected shoreward from the deep, offshore environment where water masses experience a general decline of temperature, oxygen and pH with depth. Analysis of the durations of exposure to low oxygen concentrations establishes a framework for assessing the ecological relevance of these events, but physiological tolerance limits to such hypoxic events are not well documented for most near-shore organisms expected to be impacted. ?? 2012 Elsevier Ltd.", "author" : [ { "dropping-particle" : "", "family" : "Booth", "given" : "J. Ashley T", "non-dropping-particle" : "", "parse-names" : false, "suffix" : "" }, { "dropping-particle" : "", "family" : "McPhee-Shaw", "given" : "Erika E.", "non-dropping-particle" : "", "parse-names" : false, "suffix" : "" }, { "dropping-particle" : "", "family" : "Chua", "given" : "Paul", "non-dropping-particle" : "", "parse-names" : false, "suffix" : "" }, { "dropping-particle" : "", "family" : "Kingsley", "given" : "Eric", "non-dropping-particle" : "", "parse-names" : false, "suffix" : "" }, { "dropping-particle" : "", "family" : "Denny", "given" : "Mark", "non-dropping-particle" : "", "parse-names" : false, "suffix" : "" }, { "dropping-particle" : "", "family" : "Phillips", "given" : "Roger", "non-dropping-particle" : "", "parse-names" : false, "suffix" : "" }, { "dropping-particle" : "", "family" : "Bograd", "given" : "Steven J.", "non-dropping-particle" : "", "parse-names" : false, "suffix" : "" }, { "dropping-particle" : "", "family" : "Zeidberg", "given" : "Louis D.", "non-dropping-particle" : "", "parse-names" : false, "suffix" : "" }, { "dropping-particle" : "", "family" : "Gilly", "given" : "William F.", "non-dropping-particle" : "", "parse-names" : false, "suffix" : "" } ], "container-title" : "Continental Shelf Research", "id" : "ITEM-1", "issued" : { "date-parts" : [ [ "2012" ] ] }, "note" : "Booth et al. 2012-CSR-Analysis of seawater intake time series from the MBA to understand O2, T, and pH dynamics\nTight coupling between O2, T, and pH w/o evidence for daily-scale processes-&amp;gt;advection as the dominant factor. Data set is 10-yrs of SW intake at the Monterey Bay Aquarium. 10-year overlay of O2 shows strong interannual variability with O2 frequently dropping below sublethal threshold of 4.6 mg/L between March and Sep, with occasional drops into lethal territory (&amp;lt;2 mg/L). Spectral analysis reveals significant peaks at the semi-diurnal (M2) and diurnal (K1) tidal periodicities. Variations in DO not timed to photoperiod-&amp;gt;physical processes, not respiration responsible for low O2 events. Low O2 events in shallow (&amp;lt;20m depth) demonstrate decoupling from atmosphere and dominance of stratification and advection in the coastal environment.", "page" : "108-115", "publisher" : "Elsevier", "title" : "Natural intrusions of hypoxic, low pH water into nearshore marine environments on the California coast", "type" : "article-journal", "volume" : "45" }, "uris" : [ "http://www.mendeley.com/documents/?uuid=0ada47ec-312f-44a7-884d-3ba08d9710c9" ] } ], "mendeley" : { "formattedCitation" : "(Booth et al., 2012)", "plainTextFormattedCitation" : "(Booth et al., 2012)", "previouslyFormattedCitation" : "(Booth et al., 2012)" }, "properties" : { "noteIndex" : 0 }, "schema" : "https://github.com/citation-style-language/schema/raw/master/csl-citation.json" }</w:instrText>
      </w:r>
      <w:r>
        <w:fldChar w:fldCharType="separate"/>
      </w:r>
      <w:r w:rsidRPr="000447F9">
        <w:rPr>
          <w:noProof/>
        </w:rPr>
        <w:t>(Booth et al., 2012)</w:t>
      </w:r>
      <w:r>
        <w:fldChar w:fldCharType="end"/>
      </w:r>
      <w:r>
        <w:t>. The combination of biological and physical processes can lead to large biogeochemical variability in kelp forests. For example, pH</w:t>
      </w:r>
      <w:r w:rsidR="00082B49">
        <w:t xml:space="preserve"> (</w:t>
      </w:r>
      <w:r w:rsidRPr="003B40AA">
        <w:t>NBS</w:t>
      </w:r>
      <w:r w:rsidR="00082B49">
        <w:t xml:space="preserve"> scale)</w:t>
      </w:r>
      <w:r>
        <w:t xml:space="preserve"> values of up to 9.1 have been recorded in one sub-Antarctic kelp forest while matching samples taken directly outside the kelp bed had </w:t>
      </w:r>
      <w:r w:rsidRPr="00082B49">
        <w:t>pH</w:t>
      </w:r>
      <w:r w:rsidR="00082B49">
        <w:t xml:space="preserve"> (</w:t>
      </w:r>
      <w:r w:rsidR="00082B49" w:rsidRPr="00FD6394">
        <w:t>NBS</w:t>
      </w:r>
      <w:r w:rsidR="00082B49">
        <w:t xml:space="preserve"> scale)</w:t>
      </w:r>
      <w:r>
        <w:t xml:space="preserve"> of 8.3 </w:t>
      </w:r>
      <w:r>
        <w:fldChar w:fldCharType="begin" w:fldLock="1"/>
      </w:r>
      <w:r>
        <w:instrText>ADDIN CSL_CITATION { "citationItems" : [ { "id" : "ITEM-1", "itemData" : { "author" : [ { "dropping-particle" : "", "family" : "Delille", "given" : "B", "non-dropping-particle" : "", "parse-names" : false, "suffix" : "" }, { "dropping-particle" : "", "family" : "Delille", "given" : "D", "non-dropping-particle" : "", "parse-names" : false, "suffix" : "" }, { "dropping-particle" : "", "family" : "Fiala", "given" : "M", "non-dropping-particle" : "", "parse-names" : false, "suffix" : "" }, { "dropping-particle" : "", "family" : "Prevost", "given" : "C", "non-dropping-particle" : "", "parse-names" : false, "suffix" : "" }, { "dropping-particle" : "", "family" : "Frankignoulle", "given" : "Michel", "non-dropping-particle" : "", "parse-names" : false, "suffix" : "" } ], "container-title" : "Polar Biology", "id" : "ITEM-1", "issued" : { "date-parts" : [ [ "2000" ] ] }, "note" : "Delille et al. 2000-Polar Biology-Seasonal changes in pCO2 over a kelp forest bed in the Kerguelan Archipelago (Southern Ocean) \u00a0\u00a0\u00a0\u00a0\u00a0\u00a0\u00a0\u00a0\u00a0\u00a0\u00a0 \nDominant kelp species-Macrocystis pyrifera (same species as exists in CA). Paper cites other references which include estimates of NPP. Kelp act to slow down currents=&amp;gt;increased residence time within kelp forests. Point of the paper is to compare seasonal cycles in pCO2 between inside and outside of the kelp forest. Grabbed surface (only, no bottom samples) samples every ten days in the early afternoon from sites inside and outside of the kelp forest. Measured pH and TA=&amp;gt;CO2SYS=&amp;gt;DIC and pCO2. Inside kelp bed shows greater Chl. a and less [NO3- + NO2-]. Annual cycle of nutrients characterized by buildup starting at the end of austral summer\u00a0 (from 10uM to 30 uM) until crash in austral spring (October; coincident with sharp spike in Chl. a). pH ranges (7.94-8.46-outside the kelp beds; 8.07-9.11 inside the kelp beds). Not much difference in TA between the kelp beds and outside. Significant differences in pCO2 between the kelp beds and outside of them (160-640 utam outside; 20-460 uatm inside kelp beds. Same magnitudes of change in and out of kelp forest, but offset by ~150uatm. Annual pCO2 cycle generally follows austral seasons (highest pCO2 in austral winter (JJA) and lowest pCO2 in austral summer). Seasonal sDIC drawdown much greater in kelp beds than in the outside (500-700 umol/kg vs 200 umol/kg). Significant interannual variation in C system magnitudes and changes-both inside and outside of kelp forest. T and S differences between in and out of kelp beds=&amp;gt;strong physical and chemical heterogeneity with surrounding water. Important to consider the role of air/sea gas exchanges in modifying the pCO2 dynamics within these ecosystems. Greater week-to-week C system variability in the kelp forest than outside of it. Greater biological-induced changes in pCO2 in the kelp bed than outside (after accounting for T and A/S gas ex effects-this is a simplified version of a pCO2 budget-see Hauri et al. 2013). Estimates NPP=2.2-4.2 g C m^-2 d^-1 from sDIC data. NPP leads to CO2 undersaturation for almost the entire year within the kelp forest. Uses \u03b2 factor to separate out effects of organic (P/R) and inorganic carbon (C/D) metabolism. Outside kelp forest, \u03b2~13 meaning that only A/S gas exchange and P/R occurring. Inside kelp forest, lower values for \u03b2 in the summer suggest kelp bed calcification, both from calcifying species and from epiphytic algae. Biological processes dominate CO2 dynamics in all seasons except winter (physical process-dominated) at this site. ", "page" : "706-716", "title" : "Seasonal changes of pCO2 over a subantarctic Macrocystis kelp bed", "type" : "article-journal", "volume" : "23" }, "uris" : [ "http://www.mendeley.com/documents/?uuid=fe002333-373f-413b-8503-e87f11d943c9" ] } ], "mendeley" : { "formattedCitation" : "(Delille et al., 2000)", "plainTextFormattedCitation" : "(Delille et al., 2000)", "previouslyFormattedCitation" : "(Delille et al., 2000)" }, "properties" : { "noteIndex" : 0 }, "schema" : "https://github.com/citation-style-language/schema/raw/master/csl-citation.json" }</w:instrText>
      </w:r>
      <w:r>
        <w:fldChar w:fldCharType="separate"/>
      </w:r>
      <w:r w:rsidRPr="000447F9">
        <w:rPr>
          <w:noProof/>
        </w:rPr>
        <w:t>(Delille et al., 2000)</w:t>
      </w:r>
      <w:r>
        <w:fldChar w:fldCharType="end"/>
      </w:r>
      <w:r>
        <w:t xml:space="preserve">. In southern California, </w:t>
      </w:r>
      <w:r>
        <w:fldChar w:fldCharType="begin" w:fldLock="1"/>
      </w:r>
      <w:r>
        <w:instrText>ADDIN CSL_CITATION { "citationItems" : [ { "id" : "ITEM-1", "itemData" : { "DOI" : "10.5194/bg-9-3917-2012", "ISSN" : "1726-4189", "author" : [ { "dropping-particle" : "", "family" : "Frieder", "given" : "C. A.", "non-dropping-particle" : "", "parse-names" : false, "suffix" : "" }, { "dropping-particle" : "", "family" : "Nam", "given" : "S. H.", "non-dropping-particle" : "", "parse-names" : false, "suffix" : "" }, { "dropping-particle" : "", "family" : "Martz", "given" : "Todd R", "non-dropping-particle" : "", "parse-names" : false, "suffix" : "" }, { "dropping-particle" : "", "family" : "Levin", "given" : "L. A.", "non-dropping-particle" : "", "parse-names" : false, "suffix" : "" } ], "container-title" : "Biogeosciences", "id" : "ITEM-1", "issue" : "10", "issued" : { "date-parts" : [ [ "2012", "10", "12" ] ] }, "note" : "Frieder et al. 2012-Biogeosciences-Year long records of DO and pH from a southern California nearshore kelp forest \u00a0\u00a0\u00a0\u00a0\u00a0\u00a0\u00a0\u00a0\u00a0\u00a0\u00a0 \nWhat are the spatial and temporal dynamics of DO and pH in the Southern California Bight (SCB) kelp forest ecosystems? Multiple SeapHOx\u2019s deployed to measure depth, alongshore, and cross-shore pH and O2 variability. Depth variability: one seapHOx at 7m and one at 17m depth (me: is this too deep to catch most of the canopy effects?). Two most dominant modes of periodic variability: diurnal and semidiurnal. Semidiurnal variability in pH and O2 mostly physically forced (close correlation with temperature). Diurnal variability less physically forced (changes in pH and O2 decoupled from temperature=&amp;gt;more signature of metabolic activity). Event scale variability also observed (one-day to multiple weeks)-can drive increases or decreases in pH and O2. pH daily range ~0.1-0.2 units. ~0.2 unit decrease in pH from 7m depth to 17m depth. Near-surface (7m) measurements more variable than those at depth (17m) for\u00a0 DO, pH, and T. Greatest changes in event-scale DO due to changes in alongshore current from south heading to north heading. Small alongshore differences in pH and DO, strong differences in cross shore direction at 7m depth. Positive correlation between pH and O2 at both 7m and 17m, but correlation is stronger at 17m depth. Estimate pCO2 and omega using pH data and TA estimates-only have a few samples-using max and min values from those samples to calculate C system variables. Bottom water pCO2 approaching 1000 ppm, Omega_Ar approaching, but not going lower, than 1. Study highlights the importance of alongshore currents for DO and pH variability.", "page" : "3917-3930", "title" : "High temporal and spatial variability of dissolved oxygen and pH in a nearshore California kelp forest", "type" : "article-journal", "volume" : "9" }, "uris" : [ "http://www.mendeley.com/documents/?uuid=7717eef2-6302-4c4b-ab46-492a8a93e19d" ] } ], "mendeley" : { "formattedCitation" : "(Frieder et al., 2012)", "manualFormatting" : "Frieder et al. (2012)", "plainTextFormattedCitation" : "(Frieder et al., 2012)", "previouslyFormattedCitation" : "(Frieder et al., 2012)" }, "properties" : { "noteIndex" : 0 }, "schema" : "https://github.com/citation-style-language/schema/raw/master/csl-citation.json" }</w:instrText>
      </w:r>
      <w:r>
        <w:fldChar w:fldCharType="separate"/>
      </w:r>
      <w:r w:rsidRPr="00007EAA">
        <w:rPr>
          <w:noProof/>
        </w:rPr>
        <w:t xml:space="preserve">Frieder et al. </w:t>
      </w:r>
      <w:r>
        <w:rPr>
          <w:noProof/>
        </w:rPr>
        <w:t>(</w:t>
      </w:r>
      <w:r w:rsidRPr="00007EAA">
        <w:rPr>
          <w:noProof/>
        </w:rPr>
        <w:t>2012)</w:t>
      </w:r>
      <w:r>
        <w:fldChar w:fldCharType="end"/>
      </w:r>
      <w:r>
        <w:t xml:space="preserve"> measured pH</w:t>
      </w:r>
      <w:r w:rsidR="00082B49">
        <w:t xml:space="preserve"> (total scale)</w:t>
      </w:r>
      <w:r>
        <w:t xml:space="preserve"> values as low as 7.7 (corresponding to pCO</w:t>
      </w:r>
      <w:r>
        <w:rPr>
          <w:vertAlign w:val="subscript"/>
        </w:rPr>
        <w:softHyphen/>
        <w:t>2</w:t>
      </w:r>
      <w:r>
        <w:t xml:space="preserve"> of 1000 </w:t>
      </w:r>
      <w:proofErr w:type="spellStart"/>
      <w:r w:rsidRPr="00007EAA">
        <w:t>μ</w:t>
      </w:r>
      <w:r>
        <w:t>atm</w:t>
      </w:r>
      <w:proofErr w:type="spellEnd"/>
      <w:r>
        <w:t xml:space="preserve">). </w:t>
      </w:r>
    </w:p>
    <w:p w14:paraId="6057EC8C" w14:textId="0B9ADAF1" w:rsidR="006363E5" w:rsidRDefault="006363E5" w:rsidP="000C2974">
      <w:r>
        <w:tab/>
      </w:r>
      <w:r w:rsidR="00326E63" w:rsidRPr="00326E63">
        <w:t xml:space="preserve">Despite the recognized importance of </w:t>
      </w:r>
      <w:r w:rsidR="00F445D7">
        <w:t>kelp</w:t>
      </w:r>
      <w:r w:rsidR="00326E63" w:rsidRPr="00326E63" w:rsidDel="00326E63">
        <w:t xml:space="preserve"> </w:t>
      </w:r>
      <w:r>
        <w:t>as a</w:t>
      </w:r>
      <w:r w:rsidR="00326E63">
        <w:t xml:space="preserve"> foundation species </w:t>
      </w:r>
      <w:r>
        <w:t xml:space="preserve">and biogeochemical agent, little attention has been paid to biogeochemical variability in kelp forests </w:t>
      </w:r>
      <w:r>
        <w:fldChar w:fldCharType="begin" w:fldLock="1"/>
      </w:r>
      <w:r>
        <w:instrText>ADDIN CSL_CITATION { "citationItems" : [ { "id" : "ITEM-1", "itemData" : { "DOI" : "10.1016/j.ecss.2008.10.004", "ISSN" : "0272-7714", "author" : [ { "dropping-particle" : "", "family" : "Delille", "given" : "B", "non-dropping-particle" : "", "parse-names" : false, "suffix" : "" }, { "dropping-particle" : "V.", "family" : "Borges", "given" : "Alberto", "non-dropping-particle" : "", "parse-names" : false, "suffix" : "" }, { "dropping-particle" : "", "family" : "Delille", "given" : "D", "non-dropping-particle" : "", "parse-names" : false, "suffix" : "" } ], "container-title" : "Estuarine, Coastal and Shelf Science", "id" : "ITEM-1", "issue" : "1", "issued" : { "date-parts" : [ [ "2009" ] ] }, "note" : "Delille et al. 2009-Estuarine, Coastal, and Shelf Sci.-Influence of kelp on diel cycles of DIC and pCO2 (from Kerguelan Archipelago-same study system as Delille et al. 2000). \u00a0\u00a0\u00a0\u00a0\u00a0\u00a0\u00a0\u00a0\u00a0\u00a0\u00a0\nSee paragraph 3 for references with estimates of annual NPP in kelp forests. This study also conducted on the Kerguelan Archipelago, but different locations within the archipelago. Similar ranges and offsets in pCO2 between in and out of the kelp forest as those observed in Delille et al. (2000). Larger magnitudes of diel variability observed for most physical and biological parameters inside the kelp forest as compared to outside. Diel variability can exceed seasonal variability. Diel variability greatest during max kelp abundance (austral spring-fall) and greater in the kelp forest than directly outside the kelp forest. Very large variability in pCO2 diel cycles from day to day. DIC diel cycles in the kelp forest larger than DIC diel cycles outside the kelp forest. Able to separate out macroalgal changes in DIC from planktonic changes in DIC using DIC and Chl. a data. Ideas about depth-integrated estimates of maximum net kelp community production.", "page" : "114-122", "publisher" : "Elsevier Ltd", "title" : "Influence of giant kelp beds (Macrocystis pyrifera) on diel cycles of pCO2 and DIC in the sub-Antarctic coastal area", "type" : "article-journal", "volume" : "81" }, "uris" : [ "http://www.mendeley.com/documents/?uuid=f0dcfcd1-5523-4bf3-9f3d-56bea7c3979d" ] }, { "id" : "ITEM-2", "itemData" : { "author" : [ { "dropping-particle" : "", "family" : "Delille", "given" : "B", "non-dropping-particle" : "", "parse-names" : false, "suffix" : "" }, { "dropping-particle" : "", "family" : "Delille", "given" : "D", "non-dropping-particle" : "", "parse-names" : false, "suffix" : "" }, { "dropping-particle" : "", "family" : "Fiala", "given" : "M", "non-dropping-particle" : "", "parse-names" : false, "suffix" : "" }, { "dropping-particle" : "", "family" : "Prevost", "given" : "C", "non-dropping-particle" : "", "parse-names" : false, "suffix" : "" }, { "dropping-particle" : "", "family" : "Frankignoulle", "given" : "Michel", "non-dropping-particle" : "", "parse-names" : false, "suffix" : "" } ], "container-title" : "Polar Biology", "id" : "ITEM-2", "issued" : { "date-parts" : [ [ "2000" ] ] }, "note" : "Delille et al. 2000-Polar Biology-Seasonal changes in pCO2 over a kelp forest bed in the Kerguelan Archipelago (Southern Ocean) \u00a0\u00a0\u00a0\u00a0\u00a0\u00a0\u00a0\u00a0\u00a0\u00a0\u00a0 \nDominant kelp species-Macrocystis pyrifera (same species as exists in CA). Paper cites other references which include estimates of NPP. Kelp act to slow down currents=&amp;gt;increased residence time within kelp forests. Point of the paper is to compare seasonal cycles in pCO2 between inside and outside of the kelp forest. Grabbed surface (only, no bottom samples) samples every ten days in the early afternoon from sites inside and outside of the kelp forest. Measured pH and TA=&amp;gt;CO2SYS=&amp;gt;DIC and pCO2. Inside kelp bed shows greater Chl. a and less [NO3- + NO2-]. Annual cycle of nutrients characterized by buildup starting at the end of austral summer\u00a0 (from 10uM to 30 uM) until crash in austral spring (October; coincident with sharp spike in Chl. a). pH ranges (7.94-8.46-outside the kelp beds; 8.07-9.11 inside the kelp beds). Not much difference in TA between the kelp beds and outside. Significant differences in pCO2 between the kelp beds and outside of them (160-640 utam outside; 20-460 uatm inside kelp beds. Same magnitudes of change in and out of kelp forest, but offset by ~150uatm. Annual pCO2 cycle generally follows austral seasons (highest pCO2 in austral winter (JJA) and lowest pCO2 in austral summer). Seasonal sDIC drawdown much greater in kelp beds than in the outside (500-700 umol/kg vs 200 umol/kg). Significant interannual variation in C system magnitudes and changes-both inside and outside of kelp forest. T and S differences between in and out of kelp beds=&amp;gt;strong physical and chemical heterogeneity with surrounding water. Important to consider the role of air/sea gas exchanges in modifying the pCO2 dynamics within these ecosystems. Greater week-to-week C system variability in the kelp forest than outside of it. Greater biological-induced changes in pCO2 in the kelp bed than outside (after accounting for T and A/S gas ex effects-this is a simplified version of a pCO2 budget-see Hauri et al. 2013). Estimates NPP=2.2-4.2 g C m^-2 d^-1 from sDIC data. NPP leads to CO2 undersaturation for almost the entire year within the kelp forest. Uses \u03b2 factor to separate out effects of organic (P/R) and inorganic carbon (C/D) metabolism. Outside kelp forest, \u03b2~13 meaning that only A/S gas exchange and P/R occurring. Inside kelp forest, lower values for \u03b2 in the summer suggest kelp bed calcification, both from calcifying species and from epiphytic algae. Biological processes dominate CO2 dynamics in all seasons except winter (physical process-dominated) at this site. ", "page" : "706-716", "title" : "Seasonal changes of pCO2 over a subantarctic Macrocystis kelp bed", "type" : "article-journal", "volume" : "23" }, "uris" : [ "http://www.mendeley.com/documents/?uuid=fe002333-373f-413b-8503-e87f11d943c9" ] }, { "id" : "ITEM-3", "itemData" : { "DOI" : "10.5194/bg-9-3917-2012", "ISSN" : "1726-4189", "author" : [ { "dropping-particle" : "", "family" : "Frieder", "given" : "C. A.", "non-dropping-particle" : "", "parse-names" : false, "suffix" : "" }, { "dropping-particle" : "", "family" : "Nam", "given" : "S. H.", "non-dropping-particle" : "", "parse-names" : false, "suffix" : "" }, { "dropping-particle" : "", "family" : "Martz", "given" : "Todd R", "non-dropping-particle" : "", "parse-names" : false, "suffix" : "" }, { "dropping-particle" : "", "family" : "Levin", "given" : "L. A.", "non-dropping-particle" : "", "parse-names" : false, "suffix" : "" } ], "container-title" : "Biogeosciences", "id" : "ITEM-3", "issue" : "10", "issued" : { "date-parts" : [ [ "2012", "10", "12" ] ] }, "note" : "Frieder et al. 2012-Biogeosciences-Year long records of DO and pH from a southern California nearshore kelp forest \u00a0\u00a0\u00a0\u00a0\u00a0\u00a0\u00a0\u00a0\u00a0\u00a0\u00a0 \nWhat are the spatial and temporal dynamics of DO and pH in the Southern California Bight (SCB) kelp forest ecosystems? Multiple SeapHOx\u2019s deployed to measure depth, alongshore, and cross-shore pH and O2 variability. Depth variability: one seapHOx at 7m and one at 17m depth (me: is this too deep to catch most of the canopy effects?). Two most dominant modes of periodic variability: diurnal and semidiurnal. Semidiurnal variability in pH and O2 mostly physically forced (close correlation with temperature). Diurnal variability less physically forced (changes in pH and O2 decoupled from temperature=&amp;gt;more signature of metabolic activity). Event scale variability also observed (one-day to multiple weeks)-can drive increases or decreases in pH and O2. pH daily range ~0.1-0.2 units. ~0.2 unit decrease in pH from 7m depth to 17m depth. Near-surface (7m) measurements more variable than those at depth (17m) for\u00a0 DO, pH, and T. Greatest changes in event-scale DO due to changes in alongshore current from south heading to north heading. Small alongshore differences in pH and DO, strong differences in cross shore direction at 7m depth. Positive correlation between pH and O2 at both 7m and 17m, but correlation is stronger at 17m depth. Estimate pCO2 and omega using pH data and TA estimates-only have a few samples-using max and min values from those samples to calculate C system variables. Bottom water pCO2 approaching 1000 ppm, Omega_Ar approaching, but not going lower, than 1. Study highlights the importance of alongshore currents for DO and pH variability.", "page" : "3917-3930", "title" : "High temporal and spatial variability of dissolved oxygen and pH in a nearshore California kelp forest", "type" : "article-journal", "volume" : "9" }, "uris" : [ "http://www.mendeley.com/documents/?uuid=7717eef2-6302-4c4b-ab46-492a8a93e19d" ] }, { "id" : "ITEM-4", "itemData" : { "DOI" : "10.1371/journal.pone.0028983", "ISSN" : "1932-6203", "PMID" : "22205986", "abstract" : "The effect of Ocean Acidification (OA) on marine biota is quasi-predictable at best. While perturbation studies, in the form of incubations under elevated pCO(2), reveal sensitivities and responses of individual species, one missing link in the OA story results from a chronic lack of pH data specific to a given species' natural habitat. Here, we present a compilation of continuous, high-resolution time series of upper ocean pH, collected using autonomous sensors, over a variety of ecosystems ranging from polar to tropical, open-ocean to coastal, kelp forest to coral reef. These observations reveal a continuum of month-long pH variability with standard deviations from 0.004 to 0.277 and ranges spanning 0.024 to 1.430 pH units. The nature of the observed variability was also highly site-dependent, with characteristic diel, semi-diurnal, and stochastic patterns of varying amplitudes. These biome-specific pH signatures disclose current levels of exposure to both high and low dissolved CO(2), often demonstrating that resident organisms are already experiencing pH regimes that are not predicted until 2100. Our data provide a first step toward crystallizing the biophysical link between environmental history of pH exposure and physiological resilience of marine organisms to fluctuations in seawater CO(2). Knowledge of this spatial and temporal variation in seawater chemistry allows us to improve the design of OA experiments: we can test organisms with a priori expectations of their tolerance guardrails, based on their natural range of exposure. Such hypothesis-testing will provide a deeper understanding of the effects of OA. Both intuitively simple to understand and powerfully informative, these and similar comparative time series can help guide management efforts to identify areas of marine habitat that can serve as refugia to acidification as well as areas that are particularly vulnerable to future ocean change.", "author" : [ { "dropping-particle" : "", "family" : "Hofmann", "given" : "Gretchen E.", "non-dropping-particle" : "", "parse-names" : false, "suffix" : "" }, { "dropping-particle" : "", "family" : "Smith", "given" : "Jennifer E.", "non-dropping-particle" : "", "parse-names" : false, "suffix" : "" }, { "dropping-particle" : "", "family" : "Johnson", "given" : "Kenneth S.", "non-dropping-particle" : "", "parse-names" : false, "suffix" : "" }, { "dropping-particle" : "", "family" : "Send", "given" : "Uwe", "non-dropping-particle" : "", "parse-names" : false, "suffix" : "" }, { "dropping-particle" : "", "family" : "Levin", "given" : "L. A.", "non-dropping-particle" : "", "parse-names" : false, "suffix" : "" }, { "dropping-particle" : "", "family" : "Micheli", "given" : "Fiorenza", "non-dropping-particle" : "", "parse-names" : false, "suffix" : "" }, { "dropping-particle" : "", "family" : "Paytan", "given" : "Adina", "non-dropping-particle" : "", "parse-names" : false, "suffix" : "" }, { "dropping-particle" : "", "family" : "Price", "given" : "Nichole N.", "non-dropping-particle" : "", "parse-names" : false, "suffix" : "" }, { "dropping-particle" : "", "family" : "Peterson", "given" : "Brittany", "non-dropping-particle" : "", "parse-names" : false, "suffix" : "" }, { "dropping-particle" : "", "family" : "Takeshita", "given" : "Yuichiro", "non-dropping-particle" : "", "parse-names" : false, "suffix" : "" }, { "dropping-particle" : "", "family" : "Matson", "given" : "Paul G", "non-dropping-particle" : "", "parse-names" : false, "suffix" : "" }, { "dropping-particle" : "", "family" : "Crook", "given" : "Elizabeth D", "non-dropping-particle" : "", "parse-names" : false, "suffix" : "" }, { "dropping-particle" : "", "family" : "Kroeker", "given" : "Kristy J.", "non-dropping-particle" : "", "parse-names" : false, "suffix" : "" }, { "dropping-particle" : "", "family" : "Gambi", "given" : "Maria Cristina", "non-dropping-particle" : "", "parse-names" : false, "suffix" : "" }, { "dropping-particle" : "", "family" : "Rivest", "given" : "Emily B", "non-dropping-particle" : "", "parse-names" : false, "suffix" : "" }, { "dropping-particle" : "", "family" : "Frieder", "given" : "C. A.", "non-dropping-particle" : "", "parse-names" : false, "suffix" : "" }, { "dropping-particle" : "", "family" : "Yu", "given" : "Pauline C", "non-dropping-particle" : "", "parse-names" : false, "suffix" : "" }, { "dropping-particle" : "", "family" : "Martz", "given" : "Todd R", "non-dropping-particle" : "", "parse-names" : false, "suffix" : "" } ], "container-title" : "PloS one", "id" : "ITEM-4", "issue" : "12", "issued" : { "date-parts" : [ [ "2011", "1" ] ] }, "page" : "1-11", "title" : "High-frequency dynamics of ocean pH: a multi-ecosystem comparison.", "type" : "article-journal", "volume" : "6" }, "uris" : [ "http://www.mendeley.com/documents/?uuid=e429b4fa-ffe9-439f-8e94-499f0c53acdb" ] }, { "id" : "ITEM-5", "itemData" : { "DOI" : "10.1002/lno.10264", "ISSN" : "00243590", "author" : [ { "dropping-particle" : "", "family" : "Kapsenberg", "given" : "Lydia", "non-dropping-particle" : "", "parse-names" : false, "suffix" : "" }, { "dropping-particle" : "", "family" : "Hofmann", "given" : "Gretchen E.", "non-dropping-particle" : "", "parse-names" : false, "suffix" : "" } ], "container-title" : "Limnology and Oceanography", "id" : "ITEM-5", "issued" : { "date-parts" : [ [ "2016" ] ] }, "note" : "SeapHOx time series data from the SBC LTER. Sites across the channel islands - range &amp;gt;50 km between some sites. Sensors deployed across three SBC islands-Anacapa (kelp forest), Santa Cruz (eelgrass), and San Miguel (sandy bottom) (spanning gradient from east to west). Anacapa and Santa Cruz sensors deployed in 3-4 m depth (~1 mab). San Miguel sensor deployed in ~6 m depth (12 meters above sandy bottom). Lots of interannual variability in pH and T, especially at the more sheltered sites (Anacapa and Santa Cruz). Most pronounced diel pH cycle above the eelgrass (Santa Cruz) as compared to the kelp forest (Anacapa) and the open sandy bottom (San Miguel). Phytoplankton blooms capable of increasing pH by 0.1-0.2 units at all island sites.", "page" : "n/a-n/a", "title" : "Ocean pH time-series and drivers of variability along the northern Channel Islands, California, USA", "type" : "article-journal" }, "uris" : [ "http://www.mendeley.com/documents/?uuid=43913252-9ea3-46fe-b8e0-3c5ca1dd246f" ] }, { "id" : "ITEM-6", "itemData" : { "DOI" : "10.5194/bg-12-5853-2015", "author" : [ { "dropping-particle" : "", "family" : "Takeshita", "given" : "Y", "non-dropping-particle" : "", "parse-names" : false, "suffix" : "" }, { "dropping-particle" : "", "family" : "Frieder", "given" : "C A", "non-dropping-particle" : "", "parse-names" : false, "suffix" : "" }, { "dropping-particle" : "", "family" : "Martz", "given" : "T R", "non-dropping-particle" : "", "parse-names" : false, "suffix" : "" }, { "dropping-particle" : "", "family" : "Ballard", "given" : "J R", "non-dropping-particle" : "", "parse-names" : false, "suffix" : "" }, { "dropping-particle" : "", "family" : "Feely", "given" : "R A", "non-dropping-particle" : "", "parse-names" : false, "suffix" : "" }, { "dropping-particle" : "", "family" : "Kram", "given" : "S", "non-dropping-particle" : "", "parse-names" : false, "suffix" : "" }, { "dropping-particle" : "", "family" : "Nam", "given" : "S", "non-dropping-particle" : "", "parse-names" : false, "suffix" : "" }, { "dropping-particle" : "", "family" : "Navarro", "given" : "M O", "non-dropping-particle" : "", "parse-names" : false, "suffix" : "" }, { "dropping-particle" : "", "family" : "Price", "given" : "Nichole N.", "non-dropping-particle" : "", "parse-names" : false, "suffix" : "" }, { "dropping-particle" : "", "family" : "Smith", "given" : "Jennifer E.", "non-dropping-particle" : "", "parse-names" : false, "suffix" : "" } ], "container-title" : "Biogeosciences", "id" : "ITEM-6", "issued" : { "date-parts" : [ [ "2015" ] ] }, "note" : "Takeshita et al. 2015- Biogeosciences-CO2 system variaibility in Southern CA Bight using sensor data and model projections\nAcidification of CCS expected to be greater b/c of reducing buffering capacity at higher CO2 levels. ROMS models good for resolving processes along the CA coast, but 5km grid resolution is not enough to capture habitat-level CO2 chemistry (and hence sensitivity to OA). Can turn to autonomous sensors to understand habitat-level CO2 variability and OA. Study combines autonomous sensor data, empiricial CO2 system relationships, hydrographic data, and atmospheric CO2 forcing to model habitat specific CO2 signatures and trajectories.", "page" : "5853-5870", "title" : "Including high-frequency variability in coastal ocean acidification projections", "type" : "article-journal", "volume" : "12" }, "uris" : [ "http://www.mendeley.com/documents/?uuid=8fd9de92-b044-411a-8aa7-866a1ca34ad0" ] } ], "mendeley" : { "formattedCitation" : "(Delille et al., 2000, 2009; Frieder et al., 2012; Hofmann et al., 2011; Kapsenberg and Hofmann, 2016; Takeshita et al., 2015)", "manualFormatting" : "(see Delille et al., 2000, 2009; Frieder et al., 2012; Hofmann et al., 2011; Kapsenberg and Hofmann, 2016; Takeshita et al., 2015)", "plainTextFormattedCitation" : "(Delille et al., 2000, 2009; Frieder et al., 2012; Hofmann et al., 2011; Kapsenberg and Hofmann, 2016; Takeshita et al., 2015)", "previouslyFormattedCitation" : "(Delille et al., 2000, 2009; Frieder et al., 2012; Hofmann et al., 2011; Kapsenberg and Hofmann, 2016; Takeshita et al., 2015)" }, "properties" : { "noteIndex" : 0 }, "schema" : "https://github.com/citation-style-language/schema/raw/master/csl-citation.json" }</w:instrText>
      </w:r>
      <w:r>
        <w:fldChar w:fldCharType="separate"/>
      </w:r>
      <w:r w:rsidRPr="000447F9">
        <w:rPr>
          <w:noProof/>
        </w:rPr>
        <w:t>(</w:t>
      </w:r>
      <w:r>
        <w:rPr>
          <w:noProof/>
        </w:rPr>
        <w:t xml:space="preserve">see </w:t>
      </w:r>
      <w:r w:rsidRPr="000447F9">
        <w:rPr>
          <w:noProof/>
        </w:rPr>
        <w:t>Delille et al., 2000, 2009; Frieder et al., 2012; Hofmann et al., 2011; Kapsenberg and Hofmann, 2016; Takeshita et al., 2015)</w:t>
      </w:r>
      <w:r>
        <w:fldChar w:fldCharType="end"/>
      </w:r>
      <w:r>
        <w:t xml:space="preserve">. Of the few studies that have addressed kelp forest biogeochemistry, most have focused on pH measurements in southern California </w:t>
      </w:r>
      <w:r>
        <w:fldChar w:fldCharType="begin" w:fldLock="1"/>
      </w:r>
      <w:r>
        <w:instrText>ADDIN CSL_CITATION { "citationItems" : [ { "id" : "ITEM-1", "itemData" : { "DOI" : "10.1002/lno.10264", "ISSN" : "00243590", "author" : [ { "dropping-particle" : "", "family" : "Kapsenberg", "given" : "Lydia", "non-dropping-particle" : "", "parse-names" : false, "suffix" : "" }, { "dropping-particle" : "", "family" : "Hofmann", "given" : "Gretchen E.", "non-dropping-particle" : "", "parse-names" : false, "suffix" : "" } ], "container-title" : "Limnology and Oceanography", "id" : "ITEM-1", "issued" : { "date-parts" : [ [ "2016" ] ] }, "note" : "SeapHOx time series data from the SBC LTER. Sites across the channel islands - range &amp;gt;50 km between some sites. Sensors deployed across three SBC islands-Anacapa (kelp forest), Santa Cruz (eelgrass), and San Miguel (sandy bottom) (spanning gradient from east to west). Anacapa and Santa Cruz sensors deployed in 3-4 m depth (~1 mab). San Miguel sensor deployed in ~6 m depth (12 meters above sandy bottom). Lots of interannual variability in pH and T, especially at the more sheltered sites (Anacapa and Santa Cruz). Most pronounced diel pH cycle above the eelgrass (Santa Cruz) as compared to the kelp forest (Anacapa) and the open sandy bottom (San Miguel). Phytoplankton blooms capable of increasing pH by 0.1-0.2 units at all island sites.", "page" : "n/a-n/a", "title" : "Ocean pH time-series and drivers of variability along the northern Channel Islands, California, USA", "type" : "article-journal" }, "uris" : [ "http://www.mendeley.com/documents/?uuid=43913252-9ea3-46fe-b8e0-3c5ca1dd246f" ] }, { "id" : "ITEM-2", "itemData" : { "DOI" : "10.5194/bg-9-3917-2012", "ISSN" : "1726-4189", "author" : [ { "dropping-particle" : "", "family" : "Frieder", "given" : "C. A.", "non-dropping-particle" : "", "parse-names" : false, "suffix" : "" }, { "dropping-particle" : "", "family" : "Nam", "given" : "S. H.", "non-dropping-particle" : "", "parse-names" : false, "suffix" : "" }, { "dropping-particle" : "", "family" : "Martz", "given" : "Todd R", "non-dropping-particle" : "", "parse-names" : false, "suffix" : "" }, { "dropping-particle" : "", "family" : "Levin", "given" : "L. A.", "non-dropping-particle" : "", "parse-names" : false, "suffix" : "" } ], "container-title" : "Biogeosciences", "id" : "ITEM-2", "issue" : "10", "issued" : { "date-parts" : [ [ "2012", "10", "12" ] ] }, "note" : "Frieder et al. 2012-Biogeosciences-Year long records of DO and pH from a southern California nearshore kelp forest \u00a0\u00a0\u00a0\u00a0\u00a0\u00a0\u00a0\u00a0\u00a0\u00a0\u00a0 \nWhat are the spatial and temporal dynamics of DO and pH in the Southern California Bight (SCB) kelp forest ecosystems? Multiple SeapHOx\u2019s deployed to measure depth, alongshore, and cross-shore pH and O2 variability. Depth variability: one seapHOx at 7m and one at 17m depth (me: is this too deep to catch most of the canopy effects?). Two most dominant modes of periodic variability: diurnal and semidiurnal. Semidiurnal variability in pH and O2 mostly physically forced (close correlation with temperature). Diurnal variability less physically forced (changes in pH and O2 decoupled from temperature=&amp;gt;more signature of metabolic activity). Event scale variability also observed (one-day to multiple weeks)-can drive increases or decreases in pH and O2. pH daily range ~0.1-0.2 units. ~0.2 unit decrease in pH from 7m depth to 17m depth. Near-surface (7m) measurements more variable than those at depth (17m) for\u00a0 DO, pH, and T. Greatest changes in event-scale DO due to changes in alongshore current from south heading to north heading. Small alongshore differences in pH and DO, strong differences in cross shore direction at 7m depth. Positive correlation between pH and O2 at both 7m and 17m, but correlation is stronger at 17m depth. Estimate pCO2 and omega using pH data and TA estimates-only have a few samples-using max and min values from those samples to calculate C system variables. Bottom water pCO2 approaching 1000 ppm, Omega_Ar approaching, but not going lower, than 1. Study highlights the importance of alongshore currents for DO and pH variability.", "page" : "3917-3930", "title" : "High temporal and spatial variability of dissolved oxygen and pH in a nearshore California kelp forest", "type" : "article-journal", "volume" : "9" }, "uris" : [ "http://www.mendeley.com/documents/?uuid=7717eef2-6302-4c4b-ab46-492a8a93e19d" ] }, { "id" : "ITEM-3", "itemData" : { "DOI" : "10.5194/bg-12-5853-2015", "author" : [ { "dropping-particle" : "", "family" : "Takeshita", "given" : "Y", "non-dropping-particle" : "", "parse-names" : false, "suffix" : "" }, { "dropping-particle" : "", "family" : "Frieder", "given" : "C A", "non-dropping-particle" : "", "parse-names" : false, "suffix" : "" }, { "dropping-particle" : "", "family" : "Martz", "given" : "T R", "non-dropping-particle" : "", "parse-names" : false, "suffix" : "" }, { "dropping-particle" : "", "family" : "Ballard", "given" : "J R", "non-dropping-particle" : "", "parse-names" : false, "suffix" : "" }, { "dropping-particle" : "", "family" : "Feely", "given" : "R A", "non-dropping-particle" : "", "parse-names" : false, "suffix" : "" }, { "dropping-particle" : "", "family" : "Kram", "given" : "S", "non-dropping-particle" : "", "parse-names" : false, "suffix" : "" }, { "dropping-particle" : "", "family" : "Nam", "given" : "S", "non-dropping-particle" : "", "parse-names" : false, "suffix" : "" }, { "dropping-particle" : "", "family" : "Navarro", "given" : "M O", "non-dropping-particle" : "", "parse-names" : false, "suffix" : "" }, { "dropping-particle" : "", "family" : "Price", "given" : "Nichole N.", "non-dropping-particle" : "", "parse-names" : false, "suffix" : "" }, { "dropping-particle" : "", "family" : "Smith", "given" : "Jennifer E.", "non-dropping-particle" : "", "parse-names" : false, "suffix" : "" } ], "container-title" : "Biogeosciences", "id" : "ITEM-3", "issued" : { "date-parts" : [ [ "2015" ] ] }, "note" : "Takeshita et al. 2015- Biogeosciences-CO2 system variaibility in Southern CA Bight using sensor data and model projections\nAcidification of CCS expected to be greater b/c of reducing buffering capacity at higher CO2 levels. ROMS models good for resolving processes along the CA coast, but 5km grid resolution is not enough to capture habitat-level CO2 chemistry (and hence sensitivity to OA). Can turn to autonomous sensors to understand habitat-level CO2 variability and OA. Study combines autonomous sensor data, empiricial CO2 system relationships, hydrographic data, and atmospheric CO2 forcing to model habitat specific CO2 signatures and trajectories.", "page" : "5853-5870", "title" : "Including high-frequency variability in coastal ocean acidification projections", "type" : "article-journal", "volume" : "12" }, "uris" : [ "http://www.mendeley.com/documents/?uuid=8fd9de92-b044-411a-8aa7-866a1ca34ad0" ] }, { "id" : "ITEM-4", "itemData" : { "DOI" : "10.1371/journal.pone.0028983", "ISSN" : "1932-6203", "PMID" : "22205986", "abstract" : "The effect of Ocean Acidification (OA) on marine biota is quasi-predictable at best. While perturbation studies, in the form of incubations under elevated pCO(2), reveal sensitivities and responses of individual species, one missing link in the OA story results from a chronic lack of pH data specific to a given species' natural habitat. Here, we present a compilation of continuous, high-resolution time series of upper ocean pH, collected using autonomous sensors, over a variety of ecosystems ranging from polar to tropical, open-ocean to coastal, kelp forest to coral reef. These observations reveal a continuum of month-long pH variability with standard deviations from 0.004 to 0.277 and ranges spanning 0.024 to 1.430 pH units. The nature of the observed variability was also highly site-dependent, with characteristic diel, semi-diurnal, and stochastic patterns of varying amplitudes. These biome-specific pH signatures disclose current levels of exposure to both high and low dissolved CO(2), often demonstrating that resident organisms are already experiencing pH regimes that are not predicted until 2100. Our data provide a first step toward crystallizing the biophysical link between environmental history of pH exposure and physiological resilience of marine organisms to fluctuations in seawater CO(2). Knowledge of this spatial and temporal variation in seawater chemistry allows us to improve the design of OA experiments: we can test organisms with a priori expectations of their tolerance guardrails, based on their natural range of exposure. Such hypothesis-testing will provide a deeper understanding of the effects of OA. Both intuitively simple to understand and powerfully informative, these and similar comparative time series can help guide management efforts to identify areas of marine habitat that can serve as refugia to acidification as well as areas that are particularly vulnerable to future ocean change.", "author" : [ { "dropping-particle" : "", "family" : "Hofmann", "given" : "Gretchen E.", "non-dropping-particle" : "", "parse-names" : false, "suffix" : "" }, { "dropping-particle" : "", "family" : "Smith", "given" : "Jennifer E.", "non-dropping-particle" : "", "parse-names" : false, "suffix" : "" }, { "dropping-particle" : "", "family" : "Johnson", "given" : "Kenneth S.", "non-dropping-particle" : "", "parse-names" : false, "suffix" : "" }, { "dropping-particle" : "", "family" : "Send", "given" : "Uwe", "non-dropping-particle" : "", "parse-names" : false, "suffix" : "" }, { "dropping-particle" : "", "family" : "Levin", "given" : "L. A.", "non-dropping-particle" : "", "parse-names" : false, "suffix" : "" }, { "dropping-particle" : "", "family" : "Micheli", "given" : "Fiorenza", "non-dropping-particle" : "", "parse-names" : false, "suffix" : "" }, { "dropping-particle" : "", "family" : "Paytan", "given" : "Adina", "non-dropping-particle" : "", "parse-names" : false, "suffix" : "" }, { "dropping-particle" : "", "family" : "Price", "given" : "Nichole N.", "non-dropping-particle" : "", "parse-names" : false, "suffix" : "" }, { "dropping-particle" : "", "family" : "Peterson", "given" : "Brittany", "non-dropping-particle" : "", "parse-names" : false, "suffix" : "" }, { "dropping-particle" : "", "family" : "Takeshita", "given" : "Yuichiro", "non-dropping-particle" : "", "parse-names" : false, "suffix" : "" }, { "dropping-particle" : "", "family" : "Matson", "given" : "Paul G", "non-dropping-particle" : "", "parse-names" : false, "suffix" : "" }, { "dropping-particle" : "", "family" : "Crook", "given" : "Elizabeth D", "non-dropping-particle" : "", "parse-names" : false, "suffix" : "" }, { "dropping-particle" : "", "family" : "Kroeker", "given" : "Kristy J.", "non-dropping-particle" : "", "parse-names" : false, "suffix" : "" }, { "dropping-particle" : "", "family" : "Gambi", "given" : "Maria Cristina", "non-dropping-particle" : "", "parse-names" : false, "suffix" : "" }, { "dropping-particle" : "", "family" : "Rivest", "given" : "Emily B", "non-dropping-particle" : "", "parse-names" : false, "suffix" : "" }, { "dropping-particle" : "", "family" : "Frieder", "given" : "C. A.", "non-dropping-particle" : "", "parse-names" : false, "suffix" : "" }, { "dropping-particle" : "", "family" : "Yu", "given" : "Pauline C", "non-dropping-particle" : "", "parse-names" : false, "suffix" : "" }, { "dropping-particle" : "", "family" : "Martz", "given" : "Todd R", "non-dropping-particle" : "", "parse-names" : false, "suffix" : "" } ], "container-title" : "PloS one", "id" : "ITEM-4", "issue" : "12", "issued" : { "date-parts" : [ [ "2011", "1" ] ] }, "page" : "1-11", "title" : "High-frequency dynamics of ocean pH: a multi-ecosystem comparison.", "type" : "article-journal", "volume" : "6" }, "uris" : [ "http://www.mendeley.com/documents/?uuid=e429b4fa-ffe9-439f-8e94-499f0c53acdb" ] } ], "mendeley" : { "formattedCitation" : "(Frieder et al., 2012; Hofmann et al., 2011; Kapsenberg and Hofmann, 2016; Takeshita et al., 2015)", "plainTextFormattedCitation" : "(Frieder et al., 2012; Hofmann et al., 2011; Kapsenberg and Hofmann, 2016; Takeshita et al., 2015)", "previouslyFormattedCitation" : "(Frieder et al., 2012; Hofmann et al., 2011; Kapsenberg and Hofmann, 2016; Takeshita et al., 2015)" }, "properties" : { "noteIndex" : 0 }, "schema" : "https://github.com/citation-style-language/schema/raw/master/csl-citation.json" }</w:instrText>
      </w:r>
      <w:r>
        <w:fldChar w:fldCharType="separate"/>
      </w:r>
      <w:r w:rsidRPr="000447F9">
        <w:rPr>
          <w:noProof/>
        </w:rPr>
        <w:t>(Frieder et al., 2012; Hofmann et al., 2011; Kapsenberg and Hofmann, 2016; Takeshita et al., 2015)</w:t>
      </w:r>
      <w:r>
        <w:fldChar w:fldCharType="end"/>
      </w:r>
      <w:r>
        <w:t>, which while certainly useful, does not provide complete information about the CO</w:t>
      </w:r>
      <w:r>
        <w:softHyphen/>
      </w:r>
      <w:r w:rsidRPr="000179DE">
        <w:rPr>
          <w:vertAlign w:val="subscript"/>
        </w:rPr>
        <w:t>2</w:t>
      </w:r>
      <w:r>
        <w:rPr>
          <w:vertAlign w:val="subscript"/>
        </w:rPr>
        <w:t xml:space="preserve"> </w:t>
      </w:r>
      <w:r>
        <w:t xml:space="preserve">system chemistry in kelp forests. The lack of geographically distributed biogeochemical observations in kelp forests may be due to the difficulties of long-term field observations and/or the lack of automated instrumentation and procedures for making continuous, high-quality biogeochemical measurements until recently </w:t>
      </w:r>
      <w:r>
        <w:fldChar w:fldCharType="begin" w:fldLock="1"/>
      </w:r>
      <w:r>
        <w:instrText>ADDIN CSL_CITATION { "citationItems" : [ { "id" : "ITEM-1", "itemData" : { "DOI" : "10.1016/j.mio.2014.08.003", "ISSN" : "22111220", "author" : [ { "dropping-particle" : "", "family" : "Bresnahan", "given" : "Philip J.", "non-dropping-particle" : "", "parse-names" : false, "suffix" : "" }, { "dropping-particle" : "", "family" : "Martz", "given" : "Todd R.", "non-dropping-particle" : "", "parse-names" : false, "suffix" : "" }, { "dropping-particle" : "", "family" : "Takeshita", "given" : "Yuichiro", "non-dropping-particle" : "", "parse-names" : false, "suffix" : "" }, { "dropping-particle" : "", "family" : "Johnson", "given" : "Kenneth S.", "non-dropping-particle" : "", "parse-names" : false, "suffix" : "" }, { "dropping-particle" : "", "family" : "LaShomb", "given" : "Makaila", "non-dropping-particle" : "", "parse-names" : false, "suffix" : "" } ], "container-title" : "Methods in Oceanography", "id" : "ITEM-1", "issue" : "August", "issued" : { "date-parts" : [ [ "2014", "4" ] ] }, "page" : "44-60", "publisher" : "Elsevier Ltd", "title" : "Best practices for autonomous measurement of seawater pH with the Honeywell Durafet", "type" : "article-journal", "volume" : "9" }, "uris" : [ "http://www.mendeley.com/documents/?uuid=caae8845-01d8-4daa-8f81-739615c82bcd" ] } ], "mendeley" : { "formattedCitation" : "(Bresnahan et al., 2014)", "plainTextFormattedCitation" : "(Bresnahan et al., 2014)", "previouslyFormattedCitation" : "(Bresnahan et al., 2014)" }, "properties" : { "noteIndex" : 0 }, "schema" : "https://github.com/citation-style-language/schema/raw/master/csl-citation.json" }</w:instrText>
      </w:r>
      <w:r>
        <w:fldChar w:fldCharType="separate"/>
      </w:r>
      <w:r w:rsidRPr="000447F9">
        <w:rPr>
          <w:noProof/>
        </w:rPr>
        <w:t>(Bresnahan et al., 2014)</w:t>
      </w:r>
      <w:r>
        <w:fldChar w:fldCharType="end"/>
      </w:r>
      <w:r>
        <w:t>. Our</w:t>
      </w:r>
      <w:r w:rsidRPr="00B9631E">
        <w:t xml:space="preserve"> </w:t>
      </w:r>
      <w:r>
        <w:t>limited</w:t>
      </w:r>
      <w:r w:rsidRPr="00B9631E">
        <w:t xml:space="preserve"> understanding of kelp forest </w:t>
      </w:r>
      <w:r>
        <w:t>CO</w:t>
      </w:r>
      <w:r w:rsidRPr="004C18B5">
        <w:rPr>
          <w:vertAlign w:val="subscript"/>
        </w:rPr>
        <w:t>2</w:t>
      </w:r>
      <w:r>
        <w:t xml:space="preserve"> system chemistry</w:t>
      </w:r>
      <w:r w:rsidRPr="00B9631E">
        <w:t xml:space="preserve"> inhibits our ability to </w:t>
      </w:r>
      <w:r>
        <w:t xml:space="preserve">establish biogeochemical baselines as well as to </w:t>
      </w:r>
      <w:r w:rsidRPr="00B9631E">
        <w:t xml:space="preserve">forecast how kelp forest communities may interact with changes in water chemistry from </w:t>
      </w:r>
      <w:r>
        <w:t>local</w:t>
      </w:r>
      <w:r w:rsidRPr="00B9631E">
        <w:t xml:space="preserve"> stressors, such as runoff and sedimentation, as well as from global stressors, such as climate change and ocean acidification (OA). </w:t>
      </w:r>
      <w:r>
        <w:t xml:space="preserve"> </w:t>
      </w:r>
    </w:p>
    <w:p w14:paraId="20F6FA25" w14:textId="281AA1E5" w:rsidR="00B4015F" w:rsidRDefault="006363E5" w:rsidP="000C2974">
      <w:r>
        <w:tab/>
        <w:t xml:space="preserve">The genus </w:t>
      </w:r>
      <w:r>
        <w:rPr>
          <w:i/>
        </w:rPr>
        <w:t>Macrocystis</w:t>
      </w:r>
      <w:r>
        <w:t xml:space="preserve"> (order Laminariales)</w:t>
      </w:r>
      <w:r w:rsidRPr="00C633A4">
        <w:t xml:space="preserve">, or giant kelp, </w:t>
      </w:r>
      <w:r>
        <w:t xml:space="preserve">is the most widely distributed kelp genus in the world. Found in both the northern and southern hemispheres, it dominates kelp assemblages in southern and central California </w:t>
      </w:r>
      <w:r>
        <w:fldChar w:fldCharType="begin" w:fldLock="1"/>
      </w:r>
      <w:r>
        <w:instrText>ADDIN CSL_CITATION { "citationItems" : [ { "id" : "ITEM-1", "itemData" : { "abstract" : "The giant kelp Macrocystis is the world\u2019s largest benthic organism and most widely distributed kelp taxon, serving as the foundation for diverse and energy-rich habitats that are of great ecological and economical importance. Although the basic and applied literature on Macro- cystis is extensive and multinational, studies of large Macrocystis forests in the northeastern Pacific have received the greatest attention. This review synthesises the existing Macrocystis literature into a more global perspective. During the last 20 yr, the primary literature has shifted from descriptive and experimental studies of local Macrocystis distribution, abundance and population and commu- nity structure (e.g., competition and herbivory) to comprehensive investigations of Macrocystis life history, dispersal, recruitment, physiology and broad-scale variability in population and community processes. Ample evidence now suggests that the genus is monospecific. Due to its highly variable physiology and life history, Macrocystis occupies a wide variety of environments (intertidal to 60+ m, boreal to warm temperate) and sporophytes take on a variety of morphological forms. Macrocystis sporophytes are highly responsive to environmental variability, resulting in differential population dynamics and effects of Macrocystis on its local environment. Within the large subtidal giant kelp forests of southern California, Macrocystis sporophytes live long, form extensive surface canopies that shade the substratum and dampen currents, and produce and retain copious amounts of reproductive propagules. The majority of subtidal Macrocystis populations worldwide, however, are small, narrow, fringing forests that are productive and modify environmental resources (e.g., light), yet are more dynamic than their large southern California counterparts with local recruitment probably resulting from remote propagule production. When intertidal, Macrocystis populations exhibit vegetative propagation. Growth of high-latitude Macrocystis sporophytes is seasonal, coin- cident with temporal variability in insolation, whereas growth at low latitudes tracks more episodic variability in nutrient delivery. Although Macrocystis habitat and energy provision varies with such ecotypic variability in morphology and productivity, the few available studies indicate that Macrocystis -associated communities are universally diverse and productive. Furthermore, temporal and spatial variability in the structure and dyn\u2026", "author" : [ { "dropping-particle" : "", "family" : "Graham", "given" : "Michael H.", "non-dropping-particle" : "", "parse-names" : false, "suffix" : "" }, { "dropping-particle" : "", "family" : "V\u00e1squez", "given" : "Julio A.", "non-dropping-particle" : "", "parse-names" : false, "suffix" : "" }, { "dropping-particle" : "", "family" : "Buschmann", "given" : "Alejandro H.", "non-dropping-particle" : "", "parse-names" : false, "suffix" : "" } ], "container-title" : "Oceanography and Marine Biology: An Annual Review", "editor" : [ { "dropping-particle" : "", "family" : "Gibson", "given" : "R.N.", "non-dropping-particle" : "", "parse-names" : false, "suffix" : "" }, { "dropping-particle" : "", "family" : "Atkinson", "given" : "R.J.A", "non-dropping-particle" : "", "parse-names" : false, "suffix" : "" }, { "dropping-particle" : "", "family" : "Gordon", "given" : "J.D.M.", "non-dropping-particle" : "", "parse-names" : false, "suffix" : "" } ], "id" : "ITEM-1", "issued" : { "date-parts" : [ [ "2007" ] ] }, "page" : "39-88", "publisher" : "Taylor and Francis", "title" : "Global ecology of the giant kelp Macrocystis: from ecotypes to ecosystems", "type" : "chapter", "volume" : "45" }, "uris" : [ "http://www.mendeley.com/documents/?uuid=c873f893-b519-4509-b540-faf04c66f036" ] } ], "mendeley" : { "formattedCitation" : "(Graham et al., 2007)", "plainTextFormattedCitation" : "(Graham et al., 2007)", "previouslyFormattedCitation" : "(Graham et al., 2007)" }, "properties" : { "noteIndex" : 0 }, "schema" : "https://github.com/citation-style-language/schema/raw/master/csl-citation.json" }</w:instrText>
      </w:r>
      <w:r>
        <w:fldChar w:fldCharType="separate"/>
      </w:r>
      <w:r w:rsidRPr="000447F9">
        <w:rPr>
          <w:noProof/>
        </w:rPr>
        <w:t>(Graham et al., 2007)</w:t>
      </w:r>
      <w:r>
        <w:fldChar w:fldCharType="end"/>
      </w:r>
      <w:r>
        <w:t xml:space="preserve">. We present results from a 14-month biogeochemical study in a central California </w:t>
      </w:r>
      <w:r>
        <w:rPr>
          <w:i/>
        </w:rPr>
        <w:t>Macrocystis pyrifera-</w:t>
      </w:r>
      <w:r>
        <w:t>dominated kelp forest. Our goals were to quantify temporal and spatial carbon system biogeochemical variability in a kelp forest over an annual cycle and investigate the responsible mechanisms.</w:t>
      </w:r>
    </w:p>
    <w:p w14:paraId="4B0E5E94" w14:textId="6D65D66D" w:rsidR="006363E5" w:rsidRDefault="006363E5" w:rsidP="000C2974">
      <w:pPr>
        <w:pStyle w:val="Heading1"/>
        <w:spacing w:line="360" w:lineRule="auto"/>
      </w:pPr>
      <w:r>
        <w:lastRenderedPageBreak/>
        <w:t>2. Methods</w:t>
      </w:r>
    </w:p>
    <w:p w14:paraId="3DE71EC8" w14:textId="3CB0717B" w:rsidR="00B4015F" w:rsidRDefault="006363E5" w:rsidP="000C2974">
      <w:pPr>
        <w:pStyle w:val="Heading2"/>
        <w:spacing w:line="360" w:lineRule="auto"/>
      </w:pPr>
      <w:r>
        <w:t>2</w:t>
      </w:r>
      <w:r w:rsidR="00670F05">
        <w:t>.1</w:t>
      </w:r>
      <w:r w:rsidR="00C82F79">
        <w:t xml:space="preserve"> </w:t>
      </w:r>
      <w:r>
        <w:t>Study Site</w:t>
      </w:r>
    </w:p>
    <w:p w14:paraId="5C390628" w14:textId="6B2EB535" w:rsidR="006363E5" w:rsidRDefault="006363E5" w:rsidP="000C2974">
      <w:r>
        <w:tab/>
        <w:t xml:space="preserve">Our study site is located along the eastern side of the Monterey Peninsula in the central portion of the California Current Large Marine Ecosystem (Fig. 1) </w:t>
      </w:r>
      <w:r>
        <w:fldChar w:fldCharType="begin" w:fldLock="1"/>
      </w:r>
      <w:r>
        <w:instrText>ADDIN CSL_CITATION { "citationItems" : [ { "id" : "ITEM-1", "itemData" : { "DOI" : "10.1016/j.pocean.2009.07.028", "ISBN" : "00796611", "ISSN" : "00796611", "abstract" : "The California Current System (CCS) is forced by the distribution of atmospheric pressure and associated winds in relation to the west coast of North America. In this paper, we begin with a simplified case of winds and a linear coast, then consider variability characteristic of the CCS, and conclude by considering future change. The CCS extends from the North Pacific Current (???50??N) to off Baja California, Mexico (???15-25??N) with a major discontinuity at Point Conception (34.5??N). Variation in atmospheric pressure affects winds and thus upwelling. Coastal, wind-driven upwelling results in nutrification and biological production and a southward coastal jet. Offshore, curl-driven upwelling results in a spatially large, productive habitat. The California Current flows equatorward and derives from the North Pacific Current and the coastal jet. Dominant modes of spatial and temporal variability in physical processes and biological responses are discussed. High surface production results in deep and bottom waters depleted in oxygen and enriched in carbon dioxide. Fishing has depleted demersal stocks more than pelagic stocks, and marine mammals, including whales, are recovering. Krill, squid, and micronekton are poorly known and merit study. Future climate change will differ from past change and thus prediction of the CCS requires an understanding of its dynamics. Of particular concern are changes in winds, stratification, and ocean chemistry. ?? 2009 Elsevier Ltd. All rights reserved.", "author" : [ { "dropping-particle" : "", "family" : "Checkley", "given" : "David M.", "non-dropping-particle" : "", "parse-names" : false, "suffix" : "" }, { "dropping-particle" : "", "family" : "Barth", "given" : "John A.", "non-dropping-particle" : "", "parse-names" : false, "suffix" : "" } ], "container-title" : "Progress in Oceanography", "id" : "ITEM-1", "issued" : { "date-parts" : [ [ "2009" ] ] }, "page" : "49-64", "publisher" : "Elsevier Ltd", "title" : "Patterns and processes in the California Current System", "type" : "article-journal", "volume" : "83" }, "uris" : [ "http://www.mendeley.com/documents/?uuid=99c38be1-6b6d-47cc-b35e-d7d9192154fa" ] } ], "mendeley" : { "formattedCitation" : "(Checkley and Barth, 2009)", "plainTextFormattedCitation" : "(Checkley and Barth, 2009)", "previouslyFormattedCitation" : "(Checkley and Barth, 2009)" }, "properties" : { "noteIndex" : 0 }, "schema" : "https://github.com/citation-style-language/schema/raw/master/csl-citation.json" }</w:instrText>
      </w:r>
      <w:r>
        <w:fldChar w:fldCharType="separate"/>
      </w:r>
      <w:r w:rsidRPr="000447F9">
        <w:rPr>
          <w:noProof/>
        </w:rPr>
        <w:t>(Checkley and Barth, 2009)</w:t>
      </w:r>
      <w:r>
        <w:fldChar w:fldCharType="end"/>
      </w:r>
      <w:r>
        <w:t xml:space="preserve">. This region is characterized by seasonal upwelling conditions driven by increased </w:t>
      </w:r>
      <w:proofErr w:type="spellStart"/>
      <w:r>
        <w:t>northwesterly</w:t>
      </w:r>
      <w:proofErr w:type="spellEnd"/>
      <w:r>
        <w:t xml:space="preserve"> winds from ~March-September </w:t>
      </w:r>
      <w:r>
        <w:fldChar w:fldCharType="begin" w:fldLock="1"/>
      </w:r>
      <w:r>
        <w:instrText>ADDIN CSL_CITATION { "citationItems" : [ { "id" : "ITEM-1", "itemData" : { "DOI" : "10.1016/j.pocean.2009.07.028", "ISBN" : "00796611", "ISSN" : "00796611", "abstract" : "The California Current System (CCS) is forced by the distribution of atmospheric pressure and associated winds in relation to the west coast of North America. In this paper, we begin with a simplified case of winds and a linear coast, then consider variability characteristic of the CCS, and conclude by considering future change. The CCS extends from the North Pacific Current (???50??N) to off Baja California, Mexico (???15-25??N) with a major discontinuity at Point Conception (34.5??N). Variation in atmospheric pressure affects winds and thus upwelling. Coastal, wind-driven upwelling results in nutrification and biological production and a southward coastal jet. Offshore, curl-driven upwelling results in a spatially large, productive habitat. The California Current flows equatorward and derives from the North Pacific Current and the coastal jet. Dominant modes of spatial and temporal variability in physical processes and biological responses are discussed. High surface production results in deep and bottom waters depleted in oxygen and enriched in carbon dioxide. Fishing has depleted demersal stocks more than pelagic stocks, and marine mammals, including whales, are recovering. Krill, squid, and micronekton are poorly known and merit study. Future climate change will differ from past change and thus prediction of the CCS requires an understanding of its dynamics. Of particular concern are changes in winds, stratification, and ocean chemistry. ?? 2009 Elsevier Ltd. All rights reserved.", "author" : [ { "dropping-particle" : "", "family" : "Checkley", "given" : "David M.", "non-dropping-particle" : "", "parse-names" : false, "suffix" : "" }, { "dropping-particle" : "", "family" : "Barth", "given" : "John A.", "non-dropping-particle" : "", "parse-names" : false, "suffix" : "" } ], "container-title" : "Progress in Oceanography", "id" : "ITEM-1", "issued" : { "date-parts" : [ [ "2009" ] ] }, "page" : "49-64", "publisher" : "Elsevier Ltd", "title" : "Patterns and processes in the California Current System", "type" : "article-journal", "volume" : "83" }, "uris" : [ "http://www.mendeley.com/documents/?uuid=99c38be1-6b6d-47cc-b35e-d7d9192154fa" ] } ], "mendeley" : { "formattedCitation" : "(Checkley and Barth, 2009)", "plainTextFormattedCitation" : "(Checkley and Barth, 2009)", "previouslyFormattedCitation" : "(Checkley and Barth, 2009)" }, "properties" : { "noteIndex" : 0 }, "schema" : "https://github.com/citation-style-language/schema/raw/master/csl-citation.json" }</w:instrText>
      </w:r>
      <w:r>
        <w:fldChar w:fldCharType="separate"/>
      </w:r>
      <w:r w:rsidRPr="000447F9">
        <w:rPr>
          <w:noProof/>
        </w:rPr>
        <w:t>(Checkley and Barth, 2009)</w:t>
      </w:r>
      <w:r>
        <w:fldChar w:fldCharType="end"/>
      </w:r>
      <w:r>
        <w:t xml:space="preserve"> (Fig. S1). Although much of the Monterey Peninsula is protected from the stronger along shore winds and associated surface conditions experienced by the nearby exposed coastline and northern Monterey Bay, it still experiences cross-shore transport associated with upwelling </w:t>
      </w:r>
      <w:r>
        <w:fldChar w:fldCharType="begin" w:fldLock="1"/>
      </w:r>
      <w:r>
        <w:instrText>ADDIN CSL_CITATION { "citationItems" : [ { "id" : "ITEM-1", "itemData" : { "DOI" : "10.1175/JPO-D-11-0185.1", "ISSN" : "0022-3670", "author" : [ { "dropping-particle" : "", "family" : "Woodson", "given" : "C. Brock", "non-dropping-particle" : "", "parse-names" : false, "suffix" : "" } ], "container-title" : "Journal of Physical Oceanography", "id" : "ITEM-1", "issued" : { "date-parts" : [ [ "2013" ] ] }, "note" : "Woodson 2013-JPO-Cross-shelf exchange in Monterey Bay\n\nGreater and more variable offshore transport in northern Monterey Bay-stronger wind and wave forcing. HMS shows lower net cross-shelf transport and less seasonal variation.", "page" : "1648-1665", "title" : "Spatiotemporal Variation in Cross-Shelf Exchange across the Inner Shelf of Monterey Bay, California", "type" : "article-journal", "volume" : "43" }, "uris" : [ "http://www.mendeley.com/documents/?uuid=0489388f-ec9a-465e-9f2b-ddddf48bebdd" ] } ], "mendeley" : { "formattedCitation" : "(Woodson, 2013)", "plainTextFormattedCitation" : "(Woodson, 2013)", "previouslyFormattedCitation" : "(Woodson, 2013)" }, "properties" : { "noteIndex" : 0 }, "schema" : "https://github.com/citation-style-language/schema/raw/master/csl-citation.json" }</w:instrText>
      </w:r>
      <w:r>
        <w:fldChar w:fldCharType="separate"/>
      </w:r>
      <w:r w:rsidRPr="000447F9">
        <w:rPr>
          <w:noProof/>
        </w:rPr>
        <w:t>(Woodson, 2013)</w:t>
      </w:r>
      <w:r>
        <w:fldChar w:fldCharType="end"/>
      </w:r>
      <w:r>
        <w:t>. Advection of upwelled waters and the local topography also facilitate the propagation of internal bores into southern Monterey Bay, which act as an additional mechanism for introducing dense, high CO</w:t>
      </w:r>
      <w:r w:rsidRPr="00101156">
        <w:rPr>
          <w:vertAlign w:val="subscript"/>
        </w:rPr>
        <w:t>2</w:t>
      </w:r>
      <w:r>
        <w:t xml:space="preserve"> deep ocean water into nearshore habitats and driving variability in CO</w:t>
      </w:r>
      <w:r w:rsidRPr="00977220">
        <w:rPr>
          <w:vertAlign w:val="subscript"/>
        </w:rPr>
        <w:t>2</w:t>
      </w:r>
      <w:r>
        <w:t xml:space="preserve"> chemistry at short temporal scales </w:t>
      </w:r>
      <w:r>
        <w:fldChar w:fldCharType="begin" w:fldLock="1"/>
      </w:r>
      <w:r>
        <w:instrText>ADDIN CSL_CITATION { "citationItems" : [ { "id" : "ITEM-1", "itemData" : { "DOI" : "10.1002/jgrc.20224", "author" : [ { "dropping-particle" : "", "family" : "Walter", "given" : "Ryan K.", "non-dropping-particle" : "", "parse-names" : false, "suffix" : "" }, { "dropping-particle" : "", "family" : "Woodson", "given" : "C. Brock", "non-dropping-particle" : "", "parse-names" : false, "suffix" : "" }, { "dropping-particle" : "", "family" : "Leary", "given" : "Paul R.", "non-dropping-particle" : "", "parse-names" : false, "suffix" : "" }, { "dropping-particle" : "", "family" : "Monismith", "given" : "Stephen G.", "non-dropping-particle" : "", "parse-names" : false, "suffix" : "" } ], "container-title" : "Journal of Geophysical Research: Oceans", "id" : "ITEM-1", "issued" : { "date-parts" : [ [ "2014" ] ] }, "note" : "Walter et al. 2014-JGR Oceans-offshore upwelling and internal bores + low O2\n\npotential energy density anomaly as a means to define stratification in nearshore environment. Strong correlation between bottom T and bottom O2 at 15 m depth in the kelp forest. Matches up O2 to T data-&amp;gt; sign that O2 variability is controlled by physical processes. In weak upwelling conditions, thermocline is deeper-&amp;gt;greater NLIW activity-&amp;gt;bores propagate into well-mixed waters in the nearshore. Bore activity weaker in upwelling conditions because the thermocline shoals-&amp;gt; decreased NLIW breaking-&amp;gt; decreased bores. Upwelled water already makes its way into the nearshore-&amp;quot;pooling&amp;quot;- so bores perturb exisiting stratification.", "page" : "3517-3534", "title" : "Connecting wind-drien upwelling and offshore stratification to nearshore internal bores and oxygen variability", "type" : "article-journal", "volume" : "119" }, "uris" : [ "http://www.mendeley.com/documents/?uuid=dd473529-bcd8-453c-aab0-fee1cc133656" ] }, { "id" : "ITEM-2", "itemData" : { "DOI" : "10.1016/j.csr.2012.06.009", "ISSN" : "02784343", "abstract" : "A decade-long time series recorded in Central California demonstrates that a shallow, near-shore environment (17. m depth) is regularly inundated with pulses of cold, hypoxic and low-pH water. During these episodes, oxygen can drop to physiologically stressful levels, and pH can reach values that potentially result in dissolution of calcium carbonate. Pulses of the greatest intensity arose at the onset of the spring upwelling season, and fluctuations were strongly semidiurnal and diurnal. Arrival of cold, hypoxic water on the inner shelf appears to be driven by tidal-frequency internal waves pushing deep, upwelled water into nearshore habitats. We found no relationship between the timing of low-oxygen events and the diel solar cycle. These observations are consistent with the interpretation that hypoxic water is advected shoreward from the deep, offshore environment where water masses experience a general decline of temperature, oxygen and pH with depth. Analysis of the durations of exposure to low oxygen concentrations establishes a framework for assessing the ecological relevance of these events, but physiological tolerance limits to such hypoxic events are not well documented for most near-shore organisms expected to be impacted. ?? 2012 Elsevier Ltd.", "author" : [ { "dropping-particle" : "", "family" : "Booth", "given" : "J. Ashley T", "non-dropping-particle" : "", "parse-names" : false, "suffix" : "" }, { "dropping-particle" : "", "family" : "McPhee-Shaw", "given" : "Erika E.", "non-dropping-particle" : "", "parse-names" : false, "suffix" : "" }, { "dropping-particle" : "", "family" : "Chua", "given" : "Paul", "non-dropping-particle" : "", "parse-names" : false, "suffix" : "" }, { "dropping-particle" : "", "family" : "Kingsley", "given" : "Eric", "non-dropping-particle" : "", "parse-names" : false, "suffix" : "" }, { "dropping-particle" : "", "family" : "Denny", "given" : "Mark", "non-dropping-particle" : "", "parse-names" : false, "suffix" : "" }, { "dropping-particle" : "", "family" : "Phillips", "given" : "Roger", "non-dropping-particle" : "", "parse-names" : false, "suffix" : "" }, { "dropping-particle" : "", "family" : "Bograd", "given" : "Steven J.", "non-dropping-particle" : "", "parse-names" : false, "suffix" : "" }, { "dropping-particle" : "", "family" : "Zeidberg", "given" : "Louis D.", "non-dropping-particle" : "", "parse-names" : false, "suffix" : "" }, { "dropping-particle" : "", "family" : "Gilly", "given" : "William F.", "non-dropping-particle" : "", "parse-names" : false, "suffix" : "" } ], "container-title" : "Continental Shelf Research", "id" : "ITEM-2", "issued" : { "date-parts" : [ [ "2012" ] ] }, "note" : "Booth et al. 2012-CSR-Analysis of seawater intake time series from the MBA to understand O2, T, and pH dynamics\nTight coupling between O2, T, and pH w/o evidence for daily-scale processes-&amp;gt;advection as the dominant factor. Data set is 10-yrs of SW intake at the Monterey Bay Aquarium. 10-year overlay of O2 shows strong interannual variability with O2 frequently dropping below sublethal threshold of 4.6 mg/L between March and Sep, with occasional drops into lethal territory (&amp;lt;2 mg/L). Spectral analysis reveals significant peaks at the semi-diurnal (M2) and diurnal (K1) tidal periodicities. Variations in DO not timed to photoperiod-&amp;gt;physical processes, not respiration responsible for low O2 events. Low O2 events in shallow (&amp;lt;20m depth) demonstrate decoupling from atmosphere and dominance of stratification and advection in the coastal environment.", "page" : "108-115", "publisher" : "Elsevier", "title" : "Natural intrusions of hypoxic, low pH water into nearshore marine environments on the California coast", "type" : "article-journal", "volume" : "45" }, "uris" : [ "http://www.mendeley.com/documents/?uuid=0ada47ec-312f-44a7-884d-3ba08d9710c9" ] } ], "mendeley" : { "formattedCitation" : "(Booth et al., 2012; Walter et al., 2014)", "plainTextFormattedCitation" : "(Booth et al., 2012; Walter et al., 2014)", "previouslyFormattedCitation" : "(Booth et al., 2012; Walter et al., 2014)" }, "properties" : { "noteIndex" : 0 }, "schema" : "https://github.com/citation-style-language/schema/raw/master/csl-citation.json" }</w:instrText>
      </w:r>
      <w:r>
        <w:fldChar w:fldCharType="separate"/>
      </w:r>
      <w:r w:rsidRPr="000447F9">
        <w:rPr>
          <w:noProof/>
        </w:rPr>
        <w:t>(Booth et al., 2012; Walter et al., 2014)</w:t>
      </w:r>
      <w:r>
        <w:fldChar w:fldCharType="end"/>
      </w:r>
      <w:r>
        <w:t xml:space="preserve">. </w:t>
      </w:r>
    </w:p>
    <w:p w14:paraId="12AE0BC5" w14:textId="4C7AD1BD" w:rsidR="006363E5" w:rsidRDefault="006363E5" w:rsidP="000C2974">
      <w:r>
        <w:tab/>
        <w:t>The kelp forest is located in the Lovers Point-Julia Platt State Marine Reserve</w:t>
      </w:r>
      <w:r w:rsidR="00326E63">
        <w:t>,</w:t>
      </w:r>
      <w:r>
        <w:t xml:space="preserve"> directly offshore of Hopkins Marine Station along the wave-protected side of the Monterey Peninsula (Fig. 1). </w:t>
      </w:r>
      <w:r w:rsidR="00326E63">
        <w:t xml:space="preserve">The reserve </w:t>
      </w:r>
      <w:r>
        <w:t xml:space="preserve">was created in 2007 as part of the network of central California marine protected areas designated under the California Marine Life Protection Act </w:t>
      </w:r>
      <w:r>
        <w:fldChar w:fldCharType="begin" w:fldLock="1"/>
      </w:r>
      <w:r>
        <w:instrText>ADDIN CSL_CITATION { "citationItems" : [ { "id" : "ITEM-1", "itemData" : { "id" : "ITEM-1", "issued" : { "date-parts" : [ [ "2016" ] ] }, "number-of-pages" : "2", "publisher" : "California Department of Fish and Wildlife", "title" : "Lovers Point-Julia Platt State Marine Reserve", "type" : "report" }, "uris" : [ "http://www.mendeley.com/documents/?uuid=2a1e29ff-6b84-4a8e-969b-1086a6c0ccdd" ] } ], "mendeley" : { "formattedCitation" : "(Anon, 2016)", "manualFormatting" : "(California Department of Fish and Wildlife 2016)", "plainTextFormattedCitation" : "(Anon, 2016)", "previouslyFormattedCitation" : "(Anon, 2016)" }, "properties" : { "noteIndex" : 0 }, "schema" : "https://github.com/citation-style-language/schema/raw/master/csl-citation.json" }</w:instrText>
      </w:r>
      <w:r>
        <w:fldChar w:fldCharType="separate"/>
      </w:r>
      <w:r w:rsidRPr="008206D5">
        <w:rPr>
          <w:noProof/>
        </w:rPr>
        <w:t>(</w:t>
      </w:r>
      <w:r>
        <w:rPr>
          <w:noProof/>
        </w:rPr>
        <w:t>California Department of Fish and Wildlife</w:t>
      </w:r>
      <w:r w:rsidRPr="008206D5">
        <w:rPr>
          <w:noProof/>
        </w:rPr>
        <w:t xml:space="preserve"> 2016)</w:t>
      </w:r>
      <w:r>
        <w:fldChar w:fldCharType="end"/>
      </w:r>
      <w:r>
        <w:t xml:space="preserve">. The kelp forest in </w:t>
      </w:r>
      <w:r w:rsidR="00326E63">
        <w:t>the Lovers Point-Julia Platt State Marine Reserve</w:t>
      </w:r>
      <w:r>
        <w:t xml:space="preserve"> has been protected since 1931, originally as the Hopkins Marine Life Refuge. Due to its protected status, </w:t>
      </w:r>
      <w:r w:rsidR="00326E63">
        <w:t xml:space="preserve">the reserve </w:t>
      </w:r>
      <w:r>
        <w:t>serves as a natural laboratory to investigate the biogeochemistry of a central California kelp forest featuring low levels of human disturbance.</w:t>
      </w:r>
    </w:p>
    <w:p w14:paraId="6694A11E" w14:textId="7B955597" w:rsidR="00C82F79" w:rsidRDefault="006363E5" w:rsidP="000C2974">
      <w:r>
        <w:tab/>
        <w:t>Within this kelp forest we selected six sites that span gradients in wave exposure, depth, and proximity to the kelp bed (Fig. 1; referenced as Protected Inside, Protected Middle, Protected Offshore, Exposed Middle, Exposed Offshore, and KFA). Sites inside the kelp bed ranged from 7</w:t>
      </w:r>
      <w:r w:rsidR="00132A93">
        <w:t>.5</w:t>
      </w:r>
      <w:r>
        <w:t>-11 m and sites just outside the kelp bed ranged from 13</w:t>
      </w:r>
      <w:r w:rsidR="00132A93">
        <w:t>.5</w:t>
      </w:r>
      <w:r>
        <w:t xml:space="preserve">-16 m depth. The site inside the kelp bed on the wave-exposed side (Exposed Middle) was slightly deeper than sites on the protected side because we were unable to reliably sample the wave-exposed side of the kelp bed in shallower waters for operational reasons. The six sites ranged from 130-270 m offshore (Table 1). Sites along the transect on the western side of </w:t>
      </w:r>
      <w:r w:rsidR="00326E63">
        <w:t xml:space="preserve">the </w:t>
      </w:r>
      <w:r>
        <w:t xml:space="preserve">kelp forest experienced greater wave exposure than sites on the protected side due to the </w:t>
      </w:r>
      <w:proofErr w:type="spellStart"/>
      <w:r>
        <w:t>northwestern</w:t>
      </w:r>
      <w:proofErr w:type="spellEnd"/>
      <w:r>
        <w:t xml:space="preserve"> directionality of incoming waves (Fig. S2). Both the wave-exposed and wave-protected transects were oriented perpendicular to the kelp forest in order to sample within and just outside of the kelp bed. The KFA site (located above the main node of the Kelp Forest Array, an underwater cabled observatory) was located east of the protected transect and served as a kelp-free control site, although it was close enough to the kelp forest to be influenced by the advection of chemically-modified water from the kelp forest.</w:t>
      </w:r>
    </w:p>
    <w:p w14:paraId="16942266" w14:textId="57BB5C9E" w:rsidR="006363E5" w:rsidRDefault="006363E5" w:rsidP="000C2974">
      <w:pPr>
        <w:pStyle w:val="Heading2"/>
        <w:spacing w:line="360" w:lineRule="auto"/>
      </w:pPr>
      <w:r>
        <w:lastRenderedPageBreak/>
        <w:t>2</w:t>
      </w:r>
      <w:r w:rsidR="00DD0EDE">
        <w:t>.2</w:t>
      </w:r>
      <w:r>
        <w:t xml:space="preserve"> Water Sampling</w:t>
      </w:r>
    </w:p>
    <w:p w14:paraId="3489FD32" w14:textId="193223FC" w:rsidR="006363E5" w:rsidRDefault="006363E5" w:rsidP="000C2974">
      <w:r>
        <w:tab/>
      </w:r>
      <w:r w:rsidRPr="00977220">
        <w:t xml:space="preserve">We sampled biogeochemical and </w:t>
      </w:r>
      <w:proofErr w:type="spellStart"/>
      <w:r w:rsidRPr="00977220">
        <w:t>hydrographic</w:t>
      </w:r>
      <w:proofErr w:type="spellEnd"/>
      <w:r w:rsidRPr="00977220">
        <w:t xml:space="preserve"> properties at </w:t>
      </w:r>
      <w:r>
        <w:t>the</w:t>
      </w:r>
      <w:r w:rsidRPr="00977220">
        <w:t xml:space="preserve"> six study sites at approximately weekly intervals spanning July 2013-August 2014.</w:t>
      </w:r>
      <w:r>
        <w:t xml:space="preserve">  Samples were collected between 0900 and 1200 </w:t>
      </w:r>
      <w:proofErr w:type="spellStart"/>
      <w:r>
        <w:t>hrs</w:t>
      </w:r>
      <w:proofErr w:type="spellEnd"/>
      <w:r>
        <w:t xml:space="preserve"> in order to minimize any potential confounding influence of the diel cycle on the weekly-scale biogeochemical variability. We collected water samples for DIC and TA analysis at 1 m below the surface (1 </w:t>
      </w:r>
      <w:proofErr w:type="spellStart"/>
      <w:r>
        <w:t>mbs</w:t>
      </w:r>
      <w:proofErr w:type="spellEnd"/>
      <w:r>
        <w:t xml:space="preserve">) and 1 m above the bottom (1 </w:t>
      </w:r>
      <w:proofErr w:type="spellStart"/>
      <w:r>
        <w:t>mab</w:t>
      </w:r>
      <w:proofErr w:type="spellEnd"/>
      <w:r>
        <w:t xml:space="preserve">) using 1.7L </w:t>
      </w:r>
      <w:proofErr w:type="spellStart"/>
      <w:r>
        <w:t>Niskin</w:t>
      </w:r>
      <w:proofErr w:type="spellEnd"/>
      <w:r>
        <w:t xml:space="preserve"> bottles at all 6 sites (Fig 1). </w:t>
      </w:r>
      <w:r w:rsidR="00132A93">
        <w:t xml:space="preserve">We chose these depths for water sampling in order to sample where most of the kelp biomass resided (1 </w:t>
      </w:r>
      <w:proofErr w:type="spellStart"/>
      <w:r w:rsidR="00132A93">
        <w:t>mbs</w:t>
      </w:r>
      <w:proofErr w:type="spellEnd"/>
      <w:r w:rsidR="00132A93">
        <w:t>) and where most kelp forest inhabitants live</w:t>
      </w:r>
      <w:r w:rsidR="00493EA4">
        <w:t>d</w:t>
      </w:r>
      <w:r w:rsidR="00132A93">
        <w:t xml:space="preserve"> (1 </w:t>
      </w:r>
      <w:proofErr w:type="spellStart"/>
      <w:r w:rsidR="00132A93">
        <w:t>mab</w:t>
      </w:r>
      <w:proofErr w:type="spellEnd"/>
      <w:r w:rsidR="00132A93">
        <w:t xml:space="preserve">). </w:t>
      </w:r>
      <w:r>
        <w:t xml:space="preserve">Water was sampled from the </w:t>
      </w:r>
      <w:proofErr w:type="spellStart"/>
      <w:r>
        <w:t>Niskin</w:t>
      </w:r>
      <w:proofErr w:type="spellEnd"/>
      <w:r>
        <w:t xml:space="preserve"> bottle into a 30mL bottle for DIC and a 300mL bottle for TA. Samples were immediately preserved by addition of 30 </w:t>
      </w:r>
      <w:proofErr w:type="spellStart"/>
      <w:r w:rsidRPr="008446C0">
        <w:rPr>
          <w:color w:val="000000"/>
        </w:rPr>
        <w:t>μ</w:t>
      </w:r>
      <w:r>
        <w:rPr>
          <w:color w:val="000000"/>
        </w:rPr>
        <w:t>L</w:t>
      </w:r>
      <w:proofErr w:type="spellEnd"/>
      <w:r>
        <w:t xml:space="preserve"> (DIC) or 300 </w:t>
      </w:r>
      <w:proofErr w:type="spellStart"/>
      <w:r w:rsidRPr="008446C0">
        <w:rPr>
          <w:color w:val="000000"/>
        </w:rPr>
        <w:t>μ</w:t>
      </w:r>
      <w:r>
        <w:rPr>
          <w:color w:val="000000"/>
        </w:rPr>
        <w:t>L</w:t>
      </w:r>
      <w:proofErr w:type="spellEnd"/>
      <w:r>
        <w:t xml:space="preserve"> (TA) saturated mercuric chloride solution (HgCl</w:t>
      </w:r>
      <w:r w:rsidRPr="004350A1">
        <w:rPr>
          <w:vertAlign w:val="subscript"/>
        </w:rPr>
        <w:t>2</w:t>
      </w:r>
      <w:r>
        <w:t xml:space="preserve">) upon collection from </w:t>
      </w:r>
      <w:proofErr w:type="spellStart"/>
      <w:r>
        <w:t>Niskin</w:t>
      </w:r>
      <w:proofErr w:type="spellEnd"/>
      <w:r>
        <w:t xml:space="preserve"> bottles. Samples were typically </w:t>
      </w:r>
      <w:proofErr w:type="spellStart"/>
      <w:r>
        <w:t>analyzed</w:t>
      </w:r>
      <w:proofErr w:type="spellEnd"/>
      <w:r>
        <w:t xml:space="preserve"> within 1-2 weeks of collection. We conducted simultaneous CTD </w:t>
      </w:r>
      <w:proofErr w:type="spellStart"/>
      <w:r>
        <w:t>hydrocasts</w:t>
      </w:r>
      <w:proofErr w:type="spellEnd"/>
      <w:r>
        <w:t xml:space="preserve"> (SBE 19plus, </w:t>
      </w:r>
      <w:proofErr w:type="spellStart"/>
      <w:r>
        <w:t>SeaBird</w:t>
      </w:r>
      <w:proofErr w:type="spellEnd"/>
      <w:r>
        <w:t xml:space="preserve"> Electronics, Inc.) at each station to characterize the vertical water column structure and provide </w:t>
      </w:r>
      <w:r>
        <w:rPr>
          <w:i/>
        </w:rPr>
        <w:t xml:space="preserve">in-situ </w:t>
      </w:r>
      <w:r>
        <w:t>temperature and salinity necessary for carbon system calculations (see below).</w:t>
      </w:r>
    </w:p>
    <w:p w14:paraId="2CC32F2C" w14:textId="77777777" w:rsidR="006363E5" w:rsidRPr="00EA2B29" w:rsidRDefault="006363E5" w:rsidP="000C2974">
      <w:r>
        <w:tab/>
      </w:r>
      <w:r w:rsidRPr="00EA2B29">
        <w:t xml:space="preserve">We used CTD </w:t>
      </w:r>
      <w:proofErr w:type="spellStart"/>
      <w:r w:rsidRPr="00EA2B29">
        <w:t>hydrocasts</w:t>
      </w:r>
      <w:proofErr w:type="spellEnd"/>
      <w:r w:rsidRPr="00EA2B29">
        <w:t xml:space="preserve"> to quantify water column stratification</w:t>
      </w:r>
      <w:r>
        <w:t xml:space="preserve"> by determining </w:t>
      </w:r>
      <w:r w:rsidRPr="00EA2B29">
        <w:t>the</w:t>
      </w:r>
      <w:r w:rsidRPr="00AD2C71">
        <w:t xml:space="preserve"> density difference </w:t>
      </w:r>
      <w:r w:rsidRPr="00EA2B29">
        <w:t>the between the upper two meters and the bottom two meters.</w:t>
      </w:r>
    </w:p>
    <w:p w14:paraId="56F573D0" w14:textId="2B9284F0" w:rsidR="006363E5" w:rsidRPr="003D6493" w:rsidRDefault="006363E5" w:rsidP="000C2974">
      <w:pPr>
        <w:pStyle w:val="MTDisplayEquation"/>
        <w:spacing w:line="360" w:lineRule="auto"/>
      </w:pPr>
      <w:r>
        <w:tab/>
      </w:r>
      <w:r w:rsidR="0021306A" w:rsidRPr="003D6493">
        <w:rPr>
          <w:position w:val="-14"/>
        </w:rPr>
        <w:object w:dxaOrig="1960" w:dyaOrig="420" w14:anchorId="7DE3E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8pt;height:21.35pt" o:ole="">
            <v:imagedata r:id="rId9" o:title=""/>
          </v:shape>
          <o:OLEObject Type="Embed" ProgID="Equation.DSMT4" ShapeID="_x0000_i1041" DrawAspect="Content" ObjectID="_1417271569" r:id="rId10"/>
        </w:object>
      </w:r>
      <w:r>
        <w:t xml:space="preserve"> </w:t>
      </w:r>
      <w:r>
        <w:tab/>
        <w:t>(1)</w:t>
      </w:r>
    </w:p>
    <w:p w14:paraId="2168E1AF" w14:textId="212F9C4C" w:rsidR="006363E5" w:rsidRDefault="006363E5" w:rsidP="000C2974">
      <w:proofErr w:type="gramStart"/>
      <w:r w:rsidRPr="00863AFD">
        <w:t>where</w:t>
      </w:r>
      <w:proofErr w:type="gramEnd"/>
      <w:r w:rsidRPr="00863AFD">
        <w:t xml:space="preserve"> </w:t>
      </w:r>
      <w:r w:rsidR="0021306A" w:rsidRPr="00F47660">
        <w:rPr>
          <w:position w:val="-10"/>
        </w:rPr>
        <w:object w:dxaOrig="360" w:dyaOrig="320" w14:anchorId="646127AD">
          <v:shape id="_x0000_i1043" type="#_x0000_t75" style="width:18pt;height:16pt" o:ole="">
            <v:imagedata r:id="rId11" o:title=""/>
          </v:shape>
          <o:OLEObject Type="Embed" ProgID="Equation.DSMT4" ShapeID="_x0000_i1043" DrawAspect="Content" ObjectID="_1417271570" r:id="rId12"/>
        </w:object>
      </w:r>
      <w:r w:rsidRPr="00863AFD">
        <w:t xml:space="preserve"> is in kg m</w:t>
      </w:r>
      <w:r w:rsidRPr="00863AFD">
        <w:rPr>
          <w:vertAlign w:val="superscript"/>
        </w:rPr>
        <w:t>-3</w:t>
      </w:r>
      <w:r w:rsidRPr="00863AFD">
        <w:t xml:space="preserve">, </w:t>
      </w:r>
      <w:r w:rsidR="0021306A" w:rsidRPr="00F47660">
        <w:rPr>
          <w:position w:val="-12"/>
        </w:rPr>
        <w:object w:dxaOrig="620" w:dyaOrig="400" w14:anchorId="505AE2BA">
          <v:shape id="_x0000_i1045" type="#_x0000_t75" style="width:31.35pt;height:20pt" o:ole="">
            <v:imagedata r:id="rId13" o:title=""/>
          </v:shape>
          <o:OLEObject Type="Embed" ProgID="Equation.DSMT4" ShapeID="_x0000_i1045" DrawAspect="Content" ObjectID="_1417271571" r:id="rId14"/>
        </w:object>
      </w:r>
      <w:r w:rsidRPr="00863AFD">
        <w:t xml:space="preserve"> </w:t>
      </w:r>
      <w:r>
        <w:t xml:space="preserve">is the average density across the </w:t>
      </w:r>
      <w:r w:rsidRPr="00863AFD">
        <w:t>bottom two meters</w:t>
      </w:r>
      <w:r>
        <w:t xml:space="preserve"> of the water column</w:t>
      </w:r>
      <w:r w:rsidRPr="00863AFD">
        <w:t xml:space="preserve">, and </w:t>
      </w:r>
      <w:r w:rsidR="0021306A" w:rsidRPr="00F47660">
        <w:rPr>
          <w:position w:val="-14"/>
        </w:rPr>
        <w:object w:dxaOrig="640" w:dyaOrig="420" w14:anchorId="7999ED40">
          <v:shape id="_x0000_i1047" type="#_x0000_t75" style="width:32pt;height:21.35pt" o:ole="">
            <v:imagedata r:id="rId15" o:title=""/>
          </v:shape>
          <o:OLEObject Type="Embed" ProgID="Equation.DSMT4" ShapeID="_x0000_i1047" DrawAspect="Content" ObjectID="_1417271572" r:id="rId16"/>
        </w:object>
      </w:r>
      <w:r w:rsidRPr="00863AFD">
        <w:t xml:space="preserve"> </w:t>
      </w:r>
      <w:r>
        <w:t xml:space="preserve">is the average density across the top two meters of the water column. We chose to average across two meters at both the top and bottom sites in order to span the depth of water sample collection (1 </w:t>
      </w:r>
      <w:proofErr w:type="spellStart"/>
      <w:r>
        <w:t>mbs</w:t>
      </w:r>
      <w:proofErr w:type="spellEnd"/>
      <w:r>
        <w:t xml:space="preserve"> and 1 </w:t>
      </w:r>
      <w:proofErr w:type="spellStart"/>
      <w:r>
        <w:t>mab</w:t>
      </w:r>
      <w:proofErr w:type="spellEnd"/>
      <w:r>
        <w:t>).</w:t>
      </w:r>
    </w:p>
    <w:p w14:paraId="4FA6B85C" w14:textId="77777777" w:rsidR="006363E5" w:rsidRDefault="006363E5" w:rsidP="000C2974">
      <w:r>
        <w:tab/>
        <w:t xml:space="preserve">Sample sets from July and August 2013 were collected over two days, with the samples from the protected transect typically collected a day before the samples from the exposed transect and the KFA site. We include these first two months of the time series when presenting the data as time series, but in order to avoid confounding variability from sampling on different days, any of the analyses presented here which require comparisons between the sites are limited to the period of September 2013-August 2014 when samples were all collected within approximately 90 minutes of one another. </w:t>
      </w:r>
    </w:p>
    <w:p w14:paraId="0EF66B9B" w14:textId="1AEC6A99" w:rsidR="00DD0EDE" w:rsidRDefault="00DD0EDE" w:rsidP="000C2974">
      <w:pPr>
        <w:pStyle w:val="Heading2"/>
        <w:spacing w:line="360" w:lineRule="auto"/>
      </w:pPr>
      <w:r>
        <w:t>2.3 Water chemistry</w:t>
      </w:r>
    </w:p>
    <w:p w14:paraId="66C27BEB" w14:textId="50E2972D" w:rsidR="00DD0EDE" w:rsidRPr="004D403C" w:rsidRDefault="00DD0EDE" w:rsidP="000C2974">
      <w:r>
        <w:tab/>
        <w:t xml:space="preserve">Water samples were </w:t>
      </w:r>
      <w:proofErr w:type="spellStart"/>
      <w:r>
        <w:t>analyzed</w:t>
      </w:r>
      <w:proofErr w:type="spellEnd"/>
      <w:r>
        <w:t xml:space="preserve"> at the Stanford University Stable Isotope Biogeochemistry Laboratory (Stanford, California, USA). DIC wa</w:t>
      </w:r>
      <w:r w:rsidRPr="005A7CC0">
        <w:t xml:space="preserve">s measured </w:t>
      </w:r>
      <w:r>
        <w:t>with</w:t>
      </w:r>
      <w:r w:rsidRPr="005A7CC0">
        <w:t xml:space="preserve"> a custom-b</w:t>
      </w:r>
      <w:r>
        <w:t>uilt</w:t>
      </w:r>
      <w:r w:rsidRPr="005A7CC0">
        <w:t xml:space="preserve"> sample acidification and delivery system coupled to an infrared </w:t>
      </w:r>
      <w:r>
        <w:t xml:space="preserve">gas </w:t>
      </w:r>
      <w:proofErr w:type="spellStart"/>
      <w:r>
        <w:t>analyzer</w:t>
      </w:r>
      <w:proofErr w:type="spellEnd"/>
      <w:r>
        <w:t xml:space="preserve"> (</w:t>
      </w:r>
      <w:proofErr w:type="spellStart"/>
      <w:r>
        <w:t>Licor</w:t>
      </w:r>
      <w:proofErr w:type="spellEnd"/>
      <w:r>
        <w:t xml:space="preserve"> 7000)</w:t>
      </w:r>
      <w:r w:rsidRPr="005A7CC0">
        <w:t xml:space="preserve"> described in</w:t>
      </w:r>
      <w:r>
        <w:t xml:space="preserve"> </w:t>
      </w:r>
      <w:r>
        <w:fldChar w:fldCharType="begin" w:fldLock="1"/>
      </w:r>
      <w:r w:rsidR="00D9418D">
        <w:instrText>ADDIN CSL_CITATION { "citationItems" : [ { "id" : "ITEM-1", "itemData" : { "DOI" : "10.1029/2009JC005954", "author" : [ { "dropping-particle" : "", "family" : "Long", "given" : "Matthew C", "non-dropping-particle" : "", "parse-names" : false, "suffix" : "" }, { "dropping-particle" : "", "family" : "Dunbar", "given" : "Robert B.", "non-dropping-particle" : "", "parse-names" : false, "suffix" : "" }, { "dropping-particle" : "", "family" : "Tortell", "given" : "Philippe D", "non-dropping-particle" : "", "parse-names" : false, "suffix" : "" }, { "dropping-particle" : "", "family" : "Smith", "given" : "Walker O", "non-dropping-particle" : "", "parse-names" : false, "suffix" : "" }, { "dropping-particle" : "", "family" : "Mucciarone", "given" : "David A.", "non-dropping-particle" : "", "parse-names" : false, "suffix" : "" }, { "dropping-particle" : "", "family" : "DiTullio", "given" : "Giacomo R", "non-dropping-particle" : "", "parse-names" : false, "suffix" : "" } ], "container-title" : "Journal of Geophysical Research: Oceans", "id" : "ITEM-1", "issued" : { "date-parts" : [ [ "2011" ] ] }, "page" : "1-19", "title" : "Vertical structure, seasonal drawdown, and net community production in the Ross Sea , Antarctica", "type" : "article-journal", "volume" : "116" }, "uris" : [ "http://www.mendeley.com/documents/?uuid=9873290f-4005-4429-b257-3b337b40c4a6" ] } ], "mendeley" : { "formattedCitation" : "(Long et al., 2011)", "manualFormatting" : "Long et al. (2011)", "plainTextFormattedCitation" : "(Long et al., 2011)", "previouslyFormattedCitation" : "(Long et al., 2011)" }, "properties" : { "noteIndex" : 0 }, "schema" : "https://github.com/citation-style-language/schema/raw/master/csl-citation.json" }</w:instrText>
      </w:r>
      <w:r>
        <w:fldChar w:fldCharType="separate"/>
      </w:r>
      <w:r w:rsidRPr="00042DD3">
        <w:rPr>
          <w:noProof/>
        </w:rPr>
        <w:t xml:space="preserve">Long et al. </w:t>
      </w:r>
      <w:r>
        <w:rPr>
          <w:noProof/>
        </w:rPr>
        <w:t>(</w:t>
      </w:r>
      <w:r w:rsidRPr="00042DD3">
        <w:rPr>
          <w:noProof/>
        </w:rPr>
        <w:t>2011)</w:t>
      </w:r>
      <w:r>
        <w:fldChar w:fldCharType="end"/>
      </w:r>
      <w:r>
        <w:t xml:space="preserve">. The instrument was calibrated prior to each use and monitored throughout run sequences with </w:t>
      </w:r>
      <w:r w:rsidRPr="005A7CC0">
        <w:t>Certified Refer</w:t>
      </w:r>
      <w:r>
        <w:t>ence Materials (CRM) provided by A. Dickson (</w:t>
      </w:r>
      <w:r w:rsidRPr="005A7CC0">
        <w:t>Scripps Institution of Oceanography</w:t>
      </w:r>
      <w:r>
        <w:t xml:space="preserve">). </w:t>
      </w:r>
      <w:r w:rsidRPr="005A7CC0">
        <w:t xml:space="preserve">Instrumental precision from </w:t>
      </w:r>
      <w:r>
        <w:t xml:space="preserve">467 CRM analyses over the length of the study was </w:t>
      </w:r>
      <w:r w:rsidRPr="007412C8">
        <w:rPr>
          <w:rFonts w:eastAsia="MS Gothic"/>
          <w:color w:val="000000"/>
        </w:rPr>
        <w:t>±</w:t>
      </w:r>
      <w:r>
        <w:t xml:space="preserve">1.9 </w:t>
      </w:r>
      <w:proofErr w:type="spellStart"/>
      <w:r w:rsidRPr="005A7CC0">
        <w:t>μmol</w:t>
      </w:r>
      <w:proofErr w:type="spellEnd"/>
      <w:r w:rsidRPr="005A7CC0">
        <w:t xml:space="preserve"> kg</w:t>
      </w:r>
      <w:r w:rsidRPr="005A7CC0">
        <w:rPr>
          <w:vertAlign w:val="superscript"/>
        </w:rPr>
        <w:t>-1</w:t>
      </w:r>
      <w:r>
        <w:t xml:space="preserve"> (1 S.D.). Immediate duplicate analyses of samples usually yielded instrumental precision of 1-2 </w:t>
      </w:r>
      <w:proofErr w:type="spellStart"/>
      <w:r w:rsidRPr="005A7CC0">
        <w:t>μmol</w:t>
      </w:r>
      <w:proofErr w:type="spellEnd"/>
      <w:r w:rsidRPr="005A7CC0">
        <w:t xml:space="preserve"> kg</w:t>
      </w:r>
      <w:r w:rsidRPr="005A7CC0">
        <w:rPr>
          <w:vertAlign w:val="superscript"/>
        </w:rPr>
        <w:t>-1</w:t>
      </w:r>
      <w:r>
        <w:t xml:space="preserve">. </w:t>
      </w:r>
    </w:p>
    <w:p w14:paraId="67DEBB56" w14:textId="4E18C5E7" w:rsidR="006363E5" w:rsidRDefault="00DD0EDE" w:rsidP="000C2974">
      <w:r>
        <w:lastRenderedPageBreak/>
        <w:tab/>
        <w:t xml:space="preserve">Samples for TA measurements were pre-filtered through a 0.45 </w:t>
      </w:r>
      <w:proofErr w:type="spellStart"/>
      <w:r w:rsidRPr="005A7CC0">
        <w:t>μm</w:t>
      </w:r>
      <w:proofErr w:type="spellEnd"/>
      <w:r>
        <w:t xml:space="preserve"> filter before </w:t>
      </w:r>
      <w:r w:rsidRPr="005A7CC0">
        <w:t xml:space="preserve">being </w:t>
      </w:r>
      <w:proofErr w:type="spellStart"/>
      <w:r w:rsidRPr="005A7CC0">
        <w:t>analyzed</w:t>
      </w:r>
      <w:proofErr w:type="spellEnd"/>
      <w:r w:rsidRPr="005A7CC0">
        <w:t xml:space="preserve"> on a </w:t>
      </w:r>
      <w:proofErr w:type="spellStart"/>
      <w:r w:rsidRPr="005A7CC0">
        <w:t>Metrohm</w:t>
      </w:r>
      <w:proofErr w:type="spellEnd"/>
      <w:r w:rsidRPr="005A7CC0">
        <w:t xml:space="preserve"> 855 Robotic </w:t>
      </w:r>
      <w:proofErr w:type="spellStart"/>
      <w:r w:rsidRPr="005A7CC0">
        <w:t>Titrosampler</w:t>
      </w:r>
      <w:proofErr w:type="spellEnd"/>
      <w:r w:rsidRPr="005A7CC0">
        <w:t xml:space="preserve"> (</w:t>
      </w:r>
      <w:proofErr w:type="spellStart"/>
      <w:r w:rsidRPr="005A7CC0">
        <w:t>Metrohm</w:t>
      </w:r>
      <w:proofErr w:type="spellEnd"/>
      <w:r w:rsidRPr="005A7CC0">
        <w:t xml:space="preserve"> USA, Inc.) using </w:t>
      </w:r>
      <w:r>
        <w:t xml:space="preserve">certified </w:t>
      </w:r>
      <w:r w:rsidRPr="005A7CC0">
        <w:t xml:space="preserve">0.1N </w:t>
      </w:r>
      <w:proofErr w:type="spellStart"/>
      <w:r w:rsidRPr="005A7CC0">
        <w:t>HCl</w:t>
      </w:r>
      <w:proofErr w:type="spellEnd"/>
      <w:r w:rsidRPr="005A7CC0">
        <w:t xml:space="preserve"> provided by A. Dickson (Scripps Institution of Oceanography). T</w:t>
      </w:r>
      <w:r>
        <w:t>otal alkalinity</w:t>
      </w:r>
      <w:r w:rsidRPr="005A7CC0">
        <w:t xml:space="preserve"> calculations from raw titration data follow </w:t>
      </w:r>
      <w:r>
        <w:rPr>
          <w:noProof/>
        </w:rPr>
        <w:fldChar w:fldCharType="begin" w:fldLock="1"/>
      </w:r>
      <w:r>
        <w:rPr>
          <w:noProof/>
        </w:rPr>
        <w:instrText>ADDIN CSL_CITATION { "citationItems" : [ { "id" : "ITEM-1", "itemData" : { "DOI" : "10.1016/S0304-4203(02)00133-0", "ISSN" : "03044203", "author" : [ { "dropping-particle" : "", "family" : "Dickson", "given" : "Andrew G.", "non-dropping-particle" : "", "parse-names" : false, "suffix" : "" }, { "dropping-particle" : "", "family" : "Afghan", "given" : "J. D.", "non-dropping-particle" : "", "parse-names" : false, "suffix" : "" }, { "dropping-particle" : "", "family" : "Anderson", "given" : "G.C.", "non-dropping-particle" : "", "parse-names" : false, "suffix" : "" } ], "container-title" : "Marine Chemistry", "id" : "ITEM-1", "issue" : "2-3", "issued" : { "date-parts" : [ [ "2003", "1" ] ] }, "page" : "185-197", "title" : "Reference materials for oceanic CO2 analysis: a method for the certification of total alkalinity", "type" : "article-journal", "volume" : "80" }, "uris" : [ "http://www.mendeley.com/documents/?uuid=847f5b07-5b35-400b-98b6-ff6d2ed568e2" ] } ], "mendeley" : { "formattedCitation" : "(Dickson et al., 2003)", "manualFormatting" : "Dickson et al. (2003)", "plainTextFormattedCitation" : "(Dickson et al., 2003)", "previouslyFormattedCitation" : "(Dickson et al., 2003)" }, "properties" : { "noteIndex" : 0 }, "schema" : "https://github.com/citation-style-language/schema/raw/master/csl-citation.json" }</w:instrText>
      </w:r>
      <w:r>
        <w:rPr>
          <w:noProof/>
        </w:rPr>
        <w:fldChar w:fldCharType="separate"/>
      </w:r>
      <w:r w:rsidRPr="00042DD3">
        <w:rPr>
          <w:noProof/>
        </w:rPr>
        <w:t xml:space="preserve">Dickson et al. </w:t>
      </w:r>
      <w:r>
        <w:rPr>
          <w:noProof/>
        </w:rPr>
        <w:t>(</w:t>
      </w:r>
      <w:r w:rsidRPr="00042DD3">
        <w:rPr>
          <w:noProof/>
        </w:rPr>
        <w:t>2003)</w:t>
      </w:r>
      <w:r>
        <w:rPr>
          <w:noProof/>
        </w:rPr>
        <w:fldChar w:fldCharType="end"/>
      </w:r>
      <w:r w:rsidRPr="005A7CC0">
        <w:t xml:space="preserve">. </w:t>
      </w:r>
      <w:r>
        <w:t xml:space="preserve">Sample runs were corrected based on the offset between the measured and certified value for CRMs, resulting in an accuracy that was always better than 1.7% and was better than 0.5% on 79% of analyses. </w:t>
      </w:r>
      <w:r w:rsidRPr="005A7CC0">
        <w:t xml:space="preserve">Instrumental precision from </w:t>
      </w:r>
      <w:r>
        <w:t xml:space="preserve">272 </w:t>
      </w:r>
      <w:r w:rsidRPr="005A7CC0">
        <w:t xml:space="preserve">CRM </w:t>
      </w:r>
      <w:r>
        <w:t xml:space="preserve">analyses over the duration of this study was </w:t>
      </w:r>
      <w:r w:rsidRPr="000C6298">
        <w:rPr>
          <w:rFonts w:eastAsia="MS Gothic"/>
          <w:color w:val="000000"/>
        </w:rPr>
        <w:t>±</w:t>
      </w:r>
      <w:r>
        <w:t xml:space="preserve">2.2 </w:t>
      </w:r>
      <w:proofErr w:type="spellStart"/>
      <w:r w:rsidRPr="005A7CC0">
        <w:t>μmol</w:t>
      </w:r>
      <w:proofErr w:type="spellEnd"/>
      <w:r w:rsidRPr="005A7CC0">
        <w:t xml:space="preserve"> kg</w:t>
      </w:r>
      <w:r w:rsidRPr="005A7CC0">
        <w:rPr>
          <w:vertAlign w:val="superscript"/>
        </w:rPr>
        <w:t>-1</w:t>
      </w:r>
      <w:r>
        <w:t xml:space="preserve"> (1 S.D.). Immediate duplicate analyses of samples usually yielded instrumental precision of 1-2 </w:t>
      </w:r>
      <w:proofErr w:type="spellStart"/>
      <w:r w:rsidRPr="005A7CC0">
        <w:t>μmol</w:t>
      </w:r>
      <w:proofErr w:type="spellEnd"/>
      <w:r w:rsidRPr="005A7CC0">
        <w:t xml:space="preserve"> kg</w:t>
      </w:r>
      <w:r w:rsidRPr="005A7CC0">
        <w:rPr>
          <w:vertAlign w:val="superscript"/>
        </w:rPr>
        <w:t>-1</w:t>
      </w:r>
      <w:r>
        <w:t>.</w:t>
      </w:r>
    </w:p>
    <w:p w14:paraId="59E3778C" w14:textId="3C66632C" w:rsidR="00DD0EDE" w:rsidRDefault="00DD0EDE" w:rsidP="000C2974">
      <w:pPr>
        <w:pStyle w:val="Heading2"/>
        <w:spacing w:line="360" w:lineRule="auto"/>
      </w:pPr>
      <w:r>
        <w:t>2.4 Carbon system calculations</w:t>
      </w:r>
    </w:p>
    <w:p w14:paraId="7F023F05" w14:textId="5D213D5E" w:rsidR="00DD0EDE" w:rsidRDefault="00DD0EDE" w:rsidP="000C2974">
      <w:r>
        <w:tab/>
        <w:t>We calculated pH, pCO</w:t>
      </w:r>
      <w:r w:rsidRPr="00042DD3">
        <w:rPr>
          <w:vertAlign w:val="subscript"/>
        </w:rPr>
        <w:t>2</w:t>
      </w:r>
      <w:r>
        <w:t xml:space="preserve">, and </w:t>
      </w:r>
      <w:proofErr w:type="spellStart"/>
      <w:r>
        <w:t>Ω</w:t>
      </w:r>
      <w:r w:rsidRPr="001370B2">
        <w:rPr>
          <w:vertAlign w:val="subscript"/>
        </w:rPr>
        <w:t>Aragonite</w:t>
      </w:r>
      <w:proofErr w:type="spellEnd"/>
      <w:r>
        <w:t xml:space="preserve"> (Ω</w:t>
      </w:r>
      <w:r w:rsidRPr="001370B2">
        <w:rPr>
          <w:vertAlign w:val="subscript"/>
        </w:rPr>
        <w:t>Ar</w:t>
      </w:r>
      <w:r>
        <w:t xml:space="preserve">) in CO2SYS </w:t>
      </w:r>
      <w:r>
        <w:fldChar w:fldCharType="begin" w:fldLock="1"/>
      </w:r>
      <w:r>
        <w:instrText>ADDIN CSL_CITATION { "citationItems" : [ { "id" : "ITEM-1", "itemData" : { "author" : [ { "dropping-particle" : "", "family" : "Heuven", "given" : "S", "non-dropping-particle" : "van", "parse-names" : false, "suffix" : "" }, { "dropping-particle" : "", "family" : "Pierrot", "given" : "D", "non-dropping-particle" : "", "parse-names" : false, "suffix" : "" }, { "dropping-particle" : "", "family" : "Rae", "given" : "JWB", "non-dropping-particle" : "", "parse-names" : false, "suffix" : "" }, { "dropping-particle" : "", "family" : "Lewis", "given" : "E", "non-dropping-particle" : "", "parse-names" : false, "suffix" : "" }, { "dropping-particle" : "", "family" : "Wallace", "given" : "Douglas W R", "non-dropping-particle" : "", "parse-names" : false, "suffix" : "" } ], "id" : "ITEM-1", "issued" : { "date-parts" : [ [ "2011" ] ] }, "number" : "1.1", "publisher" : "Oak Ridge National Laboratory, U.S. Department of Energy", "publisher-place" : "Oak Ridge, Tennessee", "title" : "MATLAB Program Developed for CO2 System Calculations", "type" : "report" }, "uris" : [ "http://www.mendeley.com/documents/?uuid=ac2d925a-a99f-4213-9e1b-33ceb609069b" ] } ], "mendeley" : { "formattedCitation" : "(van Heuven et al., 2011)", "plainTextFormattedCitation" : "(van Heuven et al., 2011)", "previouslyFormattedCitation" : "(van Heuven et al., 2011)" }, "properties" : { "noteIndex" : 0 }, "schema" : "https://github.com/citation-style-language/schema/raw/master/csl-citation.json" }</w:instrText>
      </w:r>
      <w:r>
        <w:fldChar w:fldCharType="separate"/>
      </w:r>
      <w:r w:rsidRPr="000447F9">
        <w:rPr>
          <w:noProof/>
        </w:rPr>
        <w:t>(van Heuven et al., 2011)</w:t>
      </w:r>
      <w:r>
        <w:fldChar w:fldCharType="end"/>
      </w:r>
      <w:r>
        <w:t xml:space="preserve"> using DIC, TA, </w:t>
      </w:r>
      <w:r>
        <w:rPr>
          <w:i/>
        </w:rPr>
        <w:t>in-situ</w:t>
      </w:r>
      <w:r>
        <w:t xml:space="preserve"> temperature, and salinity data. We assumed silica concentrations of 3 </w:t>
      </w:r>
      <w:proofErr w:type="spellStart"/>
      <w:r w:rsidRPr="005A7CC0">
        <w:t>μmol</w:t>
      </w:r>
      <w:proofErr w:type="spellEnd"/>
      <w:r w:rsidRPr="005A7CC0">
        <w:t xml:space="preserve"> kg</w:t>
      </w:r>
      <w:r w:rsidRPr="005A7CC0">
        <w:rPr>
          <w:vertAlign w:val="superscript"/>
        </w:rPr>
        <w:t>-1</w:t>
      </w:r>
      <w:r>
        <w:t xml:space="preserve"> </w:t>
      </w:r>
      <w:r>
        <w:fldChar w:fldCharType="begin" w:fldLock="1"/>
      </w:r>
      <w:r>
        <w:instrText>ADDIN CSL_CITATION { "citationItems" : [ { "id" : "ITEM-1", "itemData" : { "DOI" : "10.4319/lo.2003.48.5.1846", "ISBN" : "0024-3590", "ISSN" : "0024-3590", "abstract" : "Silicon isotope tracers were used to examine the relative magnitude of silica dissolution and silica production in the Monterey Bay, California, upwelling system. A diatom bloom dominated by Skeletonema costatum and Chae- toceros spp. was encountered under conditions of moderate upwelling. Profiles of silica production and dissolution rates were obtained at seven stations that sampled both inside and outside the bloom. Integrated silica production rates ranged from 5.4 to 108 mmol Si m?2 d?1 , averaging 42.8 mmol Si m?2 d?1 . Integrated silica dissolution rates were considerably lower than production rates with values between 0.63 and 6.5 mmol Si m?2 d?1 (mean ? 2.90 mmol Si m?2 d?1 ). The mean ratio of integrated silica dissolution to integrated silica production (# D:# P) between the surface and the 0.1% light depth was 0.075, omitting one station with an unusually high # D:# P of 0.61, indicating that, on average, 93% of silica production was supported by new silicic acid. The f-ratio for diatom nitrogen use estimated from silicic acid and nitrate depletion curves and the mean # D:# P ratio was found to be 0.83, indicating that silica was being regenerated at a rate that was only slightly slower than that for particulate organic nitrogen. These data provide direct evidence confirming earlier hypotheses that the silica pump is weak in Monterey Bay. Analysis of the global data set on # D:# P in the surface ocean leads to the hypothesis that low # D: # P(?0.10 or less) are typical of diatom bloom events, with # D:# P rising to values in excess of 0.50 during nonbloom periods. This pattern is shown to be consistent with previous estimates that the annual mean # D:# P ratio in the upper 200 m of the global ocean is 0.5\u20130.6. A regional analysis reveals that the fraction of silica production supported by new silicic acid varies as a hyperbolic function of the level of gross silica production similar to the variation in the f-ratio for N use with primary productivity. These trends suggest that diatom blooms, especially those occurring in more productive waters, are the main vectors of silica export in the sea, with the majority of the silica produced during nonbloom periods being recycled in the euphotic zone.", "author" : [ { "dropping-particle" : "", "family" : "Brzezinski", "given" : "Mark A.", "non-dropping-particle" : "", "parse-names" : false, "suffix" : "" }, { "dropping-particle" : "", "family" : "Jones", "given" : "Janice L.", "non-dropping-particle" : "", "parse-names" : false, "suffix" : "" }, { "dropping-particle" : "", "family" : "Bidle", "given" : "Kay D.", "non-dropping-particle" : "", "parse-names" : false, "suffix" : "" }, { "dropping-particle" : "", "family" : "Azam", "given" : "Farooq", "non-dropping-particle" : "", "parse-names" : false, "suffix" : "" } ], "container-title" : "Limnology and Oceanography", "id" : "ITEM-1", "issue" : "5", "issued" : { "date-parts" : [ [ "2003" ] ] }, "page" : "1846-1854", "title" : "The balance between silica production and silica dissolution in the sea: insights from Monterey Bay, California applied to the global data set", "type" : "article-journal", "volume" : "48" }, "uris" : [ "http://www.mendeley.com/documents/?uuid=c4857fdc-1685-4514-accf-ae33ef833836" ] } ], "mendeley" : { "formattedCitation" : "(Brzezinski et al., 2003)", "plainTextFormattedCitation" : "(Brzezinski et al., 2003)", "previouslyFormattedCitation" : "(Brzezinski et al., 2003)" }, "properties" : { "noteIndex" : 0 }, "schema" : "https://github.com/citation-style-language/schema/raw/master/csl-citation.json" }</w:instrText>
      </w:r>
      <w:r>
        <w:fldChar w:fldCharType="separate"/>
      </w:r>
      <w:r w:rsidRPr="000447F9">
        <w:rPr>
          <w:noProof/>
        </w:rPr>
        <w:t>(Brzezinski et al., 2003)</w:t>
      </w:r>
      <w:r>
        <w:fldChar w:fldCharType="end"/>
      </w:r>
      <w:r>
        <w:t xml:space="preserve"> and phosphate concentrations of 0.5 </w:t>
      </w:r>
      <w:proofErr w:type="spellStart"/>
      <w:r w:rsidRPr="005A7CC0">
        <w:t>μmol</w:t>
      </w:r>
      <w:proofErr w:type="spellEnd"/>
      <w:r w:rsidRPr="005A7CC0">
        <w:t xml:space="preserve"> kg</w:t>
      </w:r>
      <w:r w:rsidRPr="005A7CC0">
        <w:rPr>
          <w:vertAlign w:val="superscript"/>
        </w:rPr>
        <w:t>-1</w:t>
      </w:r>
      <w:r>
        <w:t xml:space="preserve"> and 1 </w:t>
      </w:r>
      <w:proofErr w:type="spellStart"/>
      <w:r w:rsidRPr="005A7CC0">
        <w:t>μmol</w:t>
      </w:r>
      <w:proofErr w:type="spellEnd"/>
      <w:r w:rsidRPr="005A7CC0">
        <w:t xml:space="preserve"> kg</w:t>
      </w:r>
      <w:r w:rsidRPr="005A7CC0">
        <w:rPr>
          <w:vertAlign w:val="superscript"/>
        </w:rPr>
        <w:t>-1</w:t>
      </w:r>
      <w:r>
        <w:t xml:space="preserve"> for the surface and bottom, respectively</w:t>
      </w:r>
      <w:r w:rsidR="00205C9A">
        <w:t>, based on measurements made in February-August 2014 (see attached data file for original data)</w:t>
      </w:r>
      <w:r>
        <w:t xml:space="preserve">. We used the carbonate system dissociation constants from </w:t>
      </w:r>
      <w:r>
        <w:fldChar w:fldCharType="begin" w:fldLock="1"/>
      </w:r>
      <w:r>
        <w:instrText>ADDIN CSL_CITATION { "citationItems" : [ { "id" : "ITEM-1", "itemData" : { "DOI" : "10.4319/lo.1973.18.6.0897", "ISSN" : "00243590", "author" : [ { "dropping-particle" : "", "family" : "Mehrbach", "given" : "C.", "non-dropping-particle" : "", "parse-names" : false, "suffix" : "" }, { "dropping-particle" : "", "family" : "Culberson", "given" : "C.H.", "non-dropping-particle" : "", "parse-names" : false, "suffix" : "" }, { "dropping-particle" : "", "family" : "Hawley", "given" : "J.E.", "non-dropping-particle" : "", "parse-names" : false, "suffix" : "" }, { "dropping-particle" : "", "family" : "Pytkowicz", "given" : "R.M.", "non-dropping-particle" : "", "parse-names" : false, "suffix" : "" } ], "container-title" : "Limnology and Oceanography", "id" : "ITEM-1", "issue" : "6", "issued" : { "date-parts" : [ [ "1973" ] ] }, "note" : "Mehrbach et al. 1973-L&amp;amp;O-Measurements of K1 and K2 (carbonate dissociation constants) at varying T and S \n\u00a0\u00a0\u00a0\u00a0\u00a0\u00a0\u00a0\u00a0\u00a0\u00a0\u00a0 Lots of early disagreement about values of K1 and K2-largely stemming from measurements using different types of electrodes and different pH scales. Mehrbach et al. measured the product K1K2 and K1 to figure out dissociation constants. Calculated K1 by titrating the alkalinity of samples with known salinity. Measured ratio of TDIC/carbonate alkalinity to come up with K1K2. Calculated K2 by dividing K1K2 by K1. Lists values of K1 and K2 as functions of T and S in a large table. Used non-linear least squares to fit pK1 and pK2 to functions of T and S. Slight difference between this study and previous one due to different pH scales, the consideration or ignoring of certain dissolved species in SW, and different responses of the pH electrodes used.", "page" : "897-907", "title" : "Measurement of the apparent dissociation constants of carbonic acid in seawater at atmospheric pressure", "type" : "article-journal", "volume" : "18" }, "uris" : [ "http://www.mendeley.com/documents/?uuid=1c94e802-ab63-4daf-bc9a-378c00675dce" ] } ], "mendeley" : { "formattedCitation" : "(Mehrbach et al., 1973)", "manualFormatting" : "Mehrbach et al. (1973)", "plainTextFormattedCitation" : "(Mehrbach et al., 1973)", "previouslyFormattedCitation" : "(Mehrbach et al., 1973)" }, "properties" : { "noteIndex" : 0 }, "schema" : "https://github.com/citation-style-language/schema/raw/master/csl-citation.json" }</w:instrText>
      </w:r>
      <w:r>
        <w:fldChar w:fldCharType="separate"/>
      </w:r>
      <w:r w:rsidRPr="000447F9">
        <w:rPr>
          <w:noProof/>
        </w:rPr>
        <w:t xml:space="preserve">Mehrbach et al. </w:t>
      </w:r>
      <w:r>
        <w:rPr>
          <w:noProof/>
        </w:rPr>
        <w:t>(</w:t>
      </w:r>
      <w:r w:rsidRPr="000447F9">
        <w:rPr>
          <w:noProof/>
        </w:rPr>
        <w:t>1973)</w:t>
      </w:r>
      <w:r>
        <w:fldChar w:fldCharType="end"/>
      </w:r>
      <w:r>
        <w:t xml:space="preserve"> as re-fit by </w:t>
      </w:r>
      <w:r>
        <w:fldChar w:fldCharType="begin" w:fldLock="1"/>
      </w:r>
      <w:r>
        <w:instrText>ADDIN CSL_CITATION { "citationItems" : [ { "id" : "ITEM-1", "itemData" : { "DOI" : "10.1016/0198-0149(87)90021-5", "ISSN" : "01980149", "author" : [ { "dropping-particle" : "", "family" : "Dickson", "given" : "Andrew G.", "non-dropping-particle" : "", "parse-names" : false, "suffix" : "" }, { "dropping-particle" : "", "family" : "Millero", "given" : "Frank J.", "non-dropping-particle" : "", "parse-names" : false, "suffix" : "" } ], "container-title" : "Deep Sea Research Part A. Oceanographic Research Papers", "id" : "ITEM-1", "issue" : "10", "issued" : { "date-parts" : [ [ "1987", "10" ] ] }, "page" : "1733-1743", "title" : "A comparison of the equilibrium constants for the dissociation of carbonic acid in seawater media", "type" : "article-journal", "volume" : "34" }, "uris" : [ "http://www.mendeley.com/documents/?uuid=ec5dbecf-b816-4c2d-980c-de4576b6be5c" ] } ], "mendeley" : { "formattedCitation" : "(Dickson and Millero, 1987)", "manualFormatting" : "Dickson and Millero (1987)", "plainTextFormattedCitation" : "(Dickson and Millero, 1987)", "previouslyFormattedCitation" : "(Dickson and Millero, 1987)" }, "properties" : { "noteIndex" : 0 }, "schema" : "https://github.com/citation-style-language/schema/raw/master/csl-citation.json" }</w:instrText>
      </w:r>
      <w:r>
        <w:fldChar w:fldCharType="separate"/>
      </w:r>
      <w:r w:rsidRPr="000447F9">
        <w:rPr>
          <w:noProof/>
        </w:rPr>
        <w:t xml:space="preserve">Dickson and Millero </w:t>
      </w:r>
      <w:r>
        <w:rPr>
          <w:noProof/>
        </w:rPr>
        <w:t>(</w:t>
      </w:r>
      <w:r w:rsidRPr="000447F9">
        <w:rPr>
          <w:noProof/>
        </w:rPr>
        <w:t>1987)</w:t>
      </w:r>
      <w:r>
        <w:fldChar w:fldCharType="end"/>
      </w:r>
      <w:r>
        <w:t xml:space="preserve">, </w:t>
      </w:r>
      <w:r w:rsidRPr="00D73D02">
        <w:t xml:space="preserve">and </w:t>
      </w:r>
      <w:r w:rsidRPr="00D73D02">
        <w:rPr>
          <w:bCs/>
        </w:rPr>
        <w:t>K</w:t>
      </w:r>
      <w:r w:rsidRPr="00D73D02">
        <w:rPr>
          <w:vertAlign w:val="subscript"/>
        </w:rPr>
        <w:t>SO4</w:t>
      </w:r>
      <w:r w:rsidRPr="00D73D02">
        <w:rPr>
          <w:bCs/>
        </w:rPr>
        <w:t xml:space="preserve"> for the </w:t>
      </w:r>
      <w:proofErr w:type="spellStart"/>
      <w:r w:rsidRPr="00D73D02">
        <w:rPr>
          <w:bCs/>
        </w:rPr>
        <w:t>bisulfate</w:t>
      </w:r>
      <w:proofErr w:type="spellEnd"/>
      <w:r w:rsidRPr="00D73D02">
        <w:rPr>
          <w:bCs/>
        </w:rPr>
        <w:t xml:space="preserve"> ion from</w:t>
      </w:r>
      <w:r>
        <w:rPr>
          <w:bCs/>
        </w:rPr>
        <w:t xml:space="preserve"> </w:t>
      </w:r>
      <w:r>
        <w:rPr>
          <w:bCs/>
        </w:rPr>
        <w:fldChar w:fldCharType="begin" w:fldLock="1"/>
      </w:r>
      <w:r>
        <w:rPr>
          <w:bCs/>
        </w:rPr>
        <w:instrText>ADDIN CSL_CITATION { "citationItems" : [ { "id" : "ITEM-1", "itemData" : { "DOI" : "10.1016/0021-9614(90)90074-Z", "ISSN" : "00219614", "author" : [ { "dropping-particle" : "", "family" : "Dickson", "given" : "Andrew G.", "non-dropping-particle" : "", "parse-names" : false, "suffix" : "" } ], "container-title" : "The Journal of Chemical Thermodynamics", "id" : "ITEM-1", "issue" : "2", "issued" : { "date-parts" : [ [ "1990", "2" ] ] }, "page" : "113-127", "title" : "Standard potential of the reaction: AgCl(s) + 1/2 H2(g)=Ag(s)+HCl(aq), and and the standard acidity constant of the ion HSO4\u2212 in synthetic sea water from 273.15 to 318.15 K", "type" : "article-journal", "volume" : "22" }, "uris" : [ "http://www.mendeley.com/documents/?uuid=a0a2e62c-2ef2-48c2-b092-180b3c7abda8" ] } ], "mendeley" : { "formattedCitation" : "(Dickson, 1990)", "manualFormatting" : "Dickson (1990)", "plainTextFormattedCitation" : "(Dickson, 1990)", "previouslyFormattedCitation" : "(Dickson, 1990)" }, "properties" : { "noteIndex" : 0 }, "schema" : "https://github.com/citation-style-language/schema/raw/master/csl-citation.json" }</w:instrText>
      </w:r>
      <w:r>
        <w:rPr>
          <w:bCs/>
        </w:rPr>
        <w:fldChar w:fldCharType="separate"/>
      </w:r>
      <w:r w:rsidRPr="000447F9">
        <w:rPr>
          <w:bCs/>
          <w:noProof/>
        </w:rPr>
        <w:t xml:space="preserve">Dickson </w:t>
      </w:r>
      <w:r>
        <w:rPr>
          <w:bCs/>
          <w:noProof/>
        </w:rPr>
        <w:t>(</w:t>
      </w:r>
      <w:r w:rsidRPr="000447F9">
        <w:rPr>
          <w:bCs/>
          <w:noProof/>
        </w:rPr>
        <w:t>1990)</w:t>
      </w:r>
      <w:r>
        <w:rPr>
          <w:bCs/>
        </w:rPr>
        <w:fldChar w:fldCharType="end"/>
      </w:r>
      <w:r>
        <w:rPr>
          <w:bCs/>
        </w:rPr>
        <w:t xml:space="preserve">. </w:t>
      </w:r>
      <w:proofErr w:type="gramStart"/>
      <w:r>
        <w:t>pH</w:t>
      </w:r>
      <w:proofErr w:type="gramEnd"/>
      <w:r>
        <w:t xml:space="preserve"> data is reported here on the total hydrogen ion scale at in-situ temperature.  </w:t>
      </w:r>
    </w:p>
    <w:p w14:paraId="1438AF3C" w14:textId="77777777" w:rsidR="00DD0EDE" w:rsidRDefault="00DD0EDE" w:rsidP="000C2974">
      <w:r>
        <w:tab/>
      </w:r>
      <w:r w:rsidRPr="00FC5594">
        <w:t xml:space="preserve">We </w:t>
      </w:r>
      <w:r>
        <w:t xml:space="preserve">estimated error for </w:t>
      </w:r>
      <w:r w:rsidRPr="00FC5594">
        <w:t>pH, pCO</w:t>
      </w:r>
      <w:r w:rsidRPr="007412C8">
        <w:rPr>
          <w:vertAlign w:val="subscript"/>
        </w:rPr>
        <w:t>2</w:t>
      </w:r>
      <w:r w:rsidRPr="00FC5594">
        <w:t>, and Ω</w:t>
      </w:r>
      <w:r>
        <w:rPr>
          <w:vertAlign w:val="subscript"/>
        </w:rPr>
        <w:t>Ar</w:t>
      </w:r>
      <w:r w:rsidRPr="00FC5594">
        <w:t xml:space="preserve"> calculations</w:t>
      </w:r>
      <w:r>
        <w:t xml:space="preserve"> using a Monte Carlo approach. We randomly selected ten samples in the data set, </w:t>
      </w:r>
      <w:r w:rsidRPr="00FC5594">
        <w:t>used the above-listed instrumental precisions for DIC and TA</w:t>
      </w:r>
      <w:r>
        <w:t>, assumed no error on the temperature and salinity measurements, and performed 1000 iterations on each of the ten samples. We did not consider error on the carbonate system equilibrium constants. The Monte Carlo simulations resulted in simulated distributions of pH, pCO</w:t>
      </w:r>
      <w:r w:rsidRPr="007412C8">
        <w:rPr>
          <w:vertAlign w:val="subscript"/>
        </w:rPr>
        <w:t>2</w:t>
      </w:r>
      <w:r>
        <w:t>, and Ω</w:t>
      </w:r>
      <w:r w:rsidRPr="001370B2">
        <w:rPr>
          <w:vertAlign w:val="subscript"/>
        </w:rPr>
        <w:t>Ar</w:t>
      </w:r>
      <w:r>
        <w:t xml:space="preserve"> for each of the ten randomly selected samples in the data set. We calculated the standard deviation of each distribution. The maximum standard deviation of the set of ten simulated distributions of pH, pCO</w:t>
      </w:r>
      <w:r w:rsidRPr="007412C8">
        <w:rPr>
          <w:vertAlign w:val="subscript"/>
        </w:rPr>
        <w:t>2</w:t>
      </w:r>
      <w:r>
        <w:t>, and Ω</w:t>
      </w:r>
      <w:r w:rsidRPr="001370B2">
        <w:rPr>
          <w:vertAlign w:val="subscript"/>
        </w:rPr>
        <w:t>Ar</w:t>
      </w:r>
      <w:r>
        <w:t xml:space="preserve"> are 0.01 units, 20 </w:t>
      </w:r>
      <w:proofErr w:type="spellStart"/>
      <w:r w:rsidRPr="00AE739B">
        <w:t>μ</w:t>
      </w:r>
      <w:r>
        <w:t>atm</w:t>
      </w:r>
      <w:proofErr w:type="spellEnd"/>
      <w:r>
        <w:t xml:space="preserve">, and, 0.03 units, respectively. We consider these error estimates to be conservative since they are the maximum, instead of average, values. </w:t>
      </w:r>
    </w:p>
    <w:p w14:paraId="5DA7538E" w14:textId="4DC7968E" w:rsidR="00DD0EDE" w:rsidRDefault="00DD0EDE" w:rsidP="000C2974">
      <w:r>
        <w:tab/>
        <w:t>We quantified the effects of TA, DIC, temperature, and salinity on the observed vertical differences (</w:t>
      </w:r>
      <w:r w:rsidR="0021306A" w:rsidRPr="002468E8">
        <w:rPr>
          <w:position w:val="-14"/>
        </w:rPr>
        <w:object w:dxaOrig="1040" w:dyaOrig="360" w14:anchorId="5CAF57C9">
          <v:shape id="_x0000_i1049" type="#_x0000_t75" style="width:52pt;height:18pt" o:ole="">
            <v:imagedata r:id="rId17" o:title=""/>
          </v:shape>
          <o:OLEObject Type="Embed" ProgID="Equation.DSMT4" ShapeID="_x0000_i1049" DrawAspect="Content" ObjectID="_1417271573" r:id="rId18"/>
        </w:object>
      </w:r>
      <w:r>
        <w:t>) in pH, pCO</w:t>
      </w:r>
      <w:r w:rsidRPr="002468E8">
        <w:rPr>
          <w:vertAlign w:val="subscript"/>
        </w:rPr>
        <w:t>2</w:t>
      </w:r>
      <w:r>
        <w:t xml:space="preserve">, and </w:t>
      </w:r>
      <w:r w:rsidRPr="002468E8">
        <w:t>Ω</w:t>
      </w:r>
      <w:r w:rsidRPr="002468E8">
        <w:rPr>
          <w:vertAlign w:val="subscript"/>
        </w:rPr>
        <w:t>Ar</w:t>
      </w:r>
      <w:r>
        <w:t xml:space="preserve">, using a first order Taylor series budget following </w:t>
      </w:r>
      <w:r>
        <w:fldChar w:fldCharType="begin" w:fldLock="1"/>
      </w:r>
      <w:r>
        <w:instrText>ADDIN CSL_CITATION { "citationItems" : [ { "id" : "ITEM-1", "itemData" : { "DOI" : "10.5194/bg-10-193-2013", "ISSN" : "17264170", "abstract" : "Due to seasonal upwelling, the upper ocean waters of the California Current System (CCS) have a naturally low pH and aragonite saturation state (\u03a9arag), making this region particularly prone to the effects of ocean acidification. Here, we use the Regional Oceanic Modeling System (ROMS) to conduct preindustrial and transient (1995\u20132050) simulations of ocean biogeochemistry in the CCS. The transient simulations were forced with increasing atmospheric pCO2 and increasing oceanic dissolved inorganic carbon concentrations at the lateral boundaries, as projected by the NCAR CSM 1.4 model for the IPCC SRES A2 scenario. Our results show a large seasonal variability in pH (range of ~ 0.14) and \u03a9arag (~ 0.2) for the nearshore areas (50 km from shore). This variability is created by the interplay of physical and biogeochemical processes. Despite this large variability, we find that present-day pH and \u03a9arag have already moved outside of their simulated preindustrial variability envelopes (defined by \u00b11 temporal standard deviation) due to the rapidly increasing concentrations of atmospheric CO2. The nearshore surface pH of the northern and central CCS are simulated to move outside of their present-day variability envelopes by the mid-2040s and late 2030s, respectively. This transition may occur even earlier for nearshore surface \u03a9arag, which is projected to depart from its present-day variability envelope by the early- to mid-2030s. The aragonite saturation horizon of the central CCS is projected to shoal into the upper 75 m within the next 25 yr, causing near-permanent undersaturation in subsurface waters. Due to the model\u2019s overestimation of \u03a9arag, this transition may occur even earlier than simulated by the model. Overall, our study shows that the CCS joins the Arctic and Southern oceans as one of only a few known ocean regions presently approaching the dual threshold of widespread and near-permanent undersaturation with respect to aragonite and a departure from its variability envelope. In these regions, organisms may be forced to rapidly adjust to conditions that are both inherently chemically challenging and also substantially different from past conditions.   ", "author" : [ { "dropping-particle" : "", "family" : "Hauri", "given" : "C.", "non-dropping-particle" : "", "parse-names" : false, "suffix" : "" }, { "dropping-particle" : "", "family" : "Gruber", "given" : "N.", "non-dropping-particle" : "", "parse-names" : false, "suffix" : "" }, { "dropping-particle" : "", "family" : "Vogt", "given" : "M.", "non-dropping-particle" : "", "parse-names" : false, "suffix" : "" }, { "dropping-particle" : "", "family" : "Doney", "given" : "S. C.", "non-dropping-particle" : "", "parse-names" : false, "suffix" : "" }, { "dropping-particle" : "", "family" : "Feely", "given" : "R. A.", "non-dropping-particle" : "", "parse-names" : false, "suffix" : "" }, { "dropping-particle" : "", "family" : "Lachkar", "given" : "Z.", "non-dropping-particle" : "", "parse-names" : false, "suffix" : "" }, { "dropping-particle" : "", "family" : "Leinweber", "given" : "A.", "non-dropping-particle" : "", "parse-names" : false, "suffix" : "" }, { "dropping-particle" : "", "family" : "McDonnell", "given" : "A.M.P.", "non-dropping-particle" : "", "parse-names" : false, "suffix" : "" }, { "dropping-particle" : "", "family" : "Munnich", "given" : "M.", "non-dropping-particle" : "", "parse-names" : false, "suffix" : "" } ], "container-title" : "Biogeosciences", "id" : "ITEM-1", "issue" : "1", "issued" : { "date-parts" : [ [ "2013" ] ] }, "page" : "193-216", "title" : "Spatiotemporal variability and long-term trends of ocean acidification in the California Current System", "type" : "article-journal", "volume" : "10" }, "uris" : [ "http://www.mendeley.com/documents/?uuid=4270ab3b-3c2d-4201-aa69-13ffb65617a0" ] } ], "mendeley" : { "formattedCitation" : "(Hauri et al., 2013)", "manualFormatting" : "Hauri et al. (2013)", "plainTextFormattedCitation" : "(Hauri et al., 2013)", "previouslyFormattedCitation" : "(Hauri et al., 2013)" }, "properties" : { "noteIndex" : 0 }, "schema" : "https://github.com/citation-style-language/schema/raw/master/csl-citation.json" }</w:instrText>
      </w:r>
      <w:r>
        <w:fldChar w:fldCharType="separate"/>
      </w:r>
      <w:r w:rsidRPr="000447F9">
        <w:rPr>
          <w:noProof/>
        </w:rPr>
        <w:t xml:space="preserve">Hauri et al. </w:t>
      </w:r>
      <w:r>
        <w:rPr>
          <w:noProof/>
        </w:rPr>
        <w:t>(</w:t>
      </w:r>
      <w:r w:rsidRPr="000447F9">
        <w:rPr>
          <w:noProof/>
        </w:rPr>
        <w:t>2013)</w:t>
      </w:r>
      <w:r>
        <w:fldChar w:fldCharType="end"/>
      </w:r>
      <w:r>
        <w:t xml:space="preserve">: </w:t>
      </w:r>
    </w:p>
    <w:p w14:paraId="773D68B7" w14:textId="11C0F54B" w:rsidR="00DD0EDE" w:rsidRDefault="00DD0EDE" w:rsidP="000C2974">
      <w:pPr>
        <w:pStyle w:val="MTDisplayEquation"/>
        <w:spacing w:line="360" w:lineRule="auto"/>
      </w:pPr>
      <w:r>
        <w:tab/>
      </w:r>
      <w:r w:rsidR="0021306A" w:rsidRPr="00761D72">
        <w:rPr>
          <w:position w:val="-24"/>
        </w:rPr>
        <w:object w:dxaOrig="6180" w:dyaOrig="620" w14:anchorId="69CDA85D">
          <v:shape id="_x0000_i1057" type="#_x0000_t75" style="width:309.35pt;height:31.35pt" o:ole="">
            <v:imagedata r:id="rId19" o:title=""/>
          </v:shape>
          <o:OLEObject Type="Embed" ProgID="Equation.DSMT4" ShapeID="_x0000_i1057" DrawAspect="Content" ObjectID="_1417271574" r:id="rId20"/>
        </w:object>
      </w:r>
      <w:r>
        <w:t xml:space="preserve"> </w:t>
      </w:r>
      <w:r>
        <w:tab/>
        <w:t>(2)</w:t>
      </w:r>
      <w:r>
        <w:tab/>
      </w:r>
    </w:p>
    <w:p w14:paraId="232622B5" w14:textId="2235A3A4" w:rsidR="00831717" w:rsidRDefault="00DD0EDE" w:rsidP="000C2974">
      <w:proofErr w:type="gramStart"/>
      <w:r>
        <w:t>where</w:t>
      </w:r>
      <w:proofErr w:type="gramEnd"/>
      <w:r>
        <w:t xml:space="preserve"> </w:t>
      </w:r>
      <w:r w:rsidRPr="0002774E">
        <w:rPr>
          <w:i/>
        </w:rPr>
        <w:t>y</w:t>
      </w:r>
      <w:r>
        <w:t xml:space="preserve"> is pH, pCO</w:t>
      </w:r>
      <w:r w:rsidRPr="0002774E">
        <w:rPr>
          <w:vertAlign w:val="subscript"/>
        </w:rPr>
        <w:t>2</w:t>
      </w:r>
      <w:r>
        <w:t xml:space="preserve">, or </w:t>
      </w:r>
      <w:r w:rsidRPr="002468E8">
        <w:t>Ω</w:t>
      </w:r>
      <w:r w:rsidRPr="002468E8">
        <w:rPr>
          <w:vertAlign w:val="subscript"/>
        </w:rPr>
        <w:t>Ar</w:t>
      </w:r>
      <w:r>
        <w:t xml:space="preserve"> and the terms on the right-hand-side of the equation account for the effects of temperature, salinity, TA, and DIC, respectively. </w:t>
      </w:r>
      <w:r w:rsidRPr="0002774E">
        <w:t>The</w:t>
      </w:r>
      <w:r>
        <w:t xml:space="preserve"> partial derivatives </w:t>
      </w:r>
      <w:r w:rsidR="0021306A" w:rsidRPr="002468E8">
        <w:rPr>
          <w:position w:val="-24"/>
        </w:rPr>
        <w:object w:dxaOrig="2160" w:dyaOrig="620" w14:anchorId="6D1A3A26">
          <v:shape id="_x0000_i1059" type="#_x0000_t75" style="width:108pt;height:31.35pt" o:ole="">
            <v:imagedata r:id="rId21" o:title=""/>
          </v:shape>
          <o:OLEObject Type="Embed" ProgID="Equation.DSMT4" ShapeID="_x0000_i1059" DrawAspect="Content" ObjectID="_1417271575" r:id="rId22"/>
        </w:object>
      </w:r>
      <w:r>
        <w:t xml:space="preserve"> were estimated numerically in CO</w:t>
      </w:r>
      <w:r w:rsidRPr="00FF1919">
        <w:t>2</w:t>
      </w:r>
      <w:r>
        <w:t xml:space="preserve">SYS </w:t>
      </w:r>
      <w:proofErr w:type="spellStart"/>
      <w:r>
        <w:t>centered</w:t>
      </w:r>
      <w:proofErr w:type="spellEnd"/>
      <w:r>
        <w:t xml:space="preserve"> at the mean values of temperature, salinity, TA, and DIC across the entire data set (Table S1). </w:t>
      </w:r>
    </w:p>
    <w:p w14:paraId="72FC816D" w14:textId="5F3C1D2F" w:rsidR="00831717" w:rsidRDefault="00831717" w:rsidP="000C2974">
      <w:pPr>
        <w:pStyle w:val="Heading2"/>
        <w:spacing w:line="360" w:lineRule="auto"/>
      </w:pPr>
      <w:r>
        <w:lastRenderedPageBreak/>
        <w:t>2.</w:t>
      </w:r>
      <w:r w:rsidR="00F275C2">
        <w:t>5</w:t>
      </w:r>
      <w:r>
        <w:t xml:space="preserve"> Satellite-derived kelp canopy biomass estimates</w:t>
      </w:r>
    </w:p>
    <w:p w14:paraId="5696849C" w14:textId="50FA119A" w:rsidR="00831717" w:rsidRDefault="00831717" w:rsidP="000C2974">
      <w:r>
        <w:tab/>
      </w:r>
      <w:r w:rsidRPr="00971065">
        <w:t xml:space="preserve">We estimated giant kelp canopy biomass from </w:t>
      </w:r>
      <w:r>
        <w:t>July</w:t>
      </w:r>
      <w:r w:rsidRPr="00971065">
        <w:t xml:space="preserve"> 2013 to </w:t>
      </w:r>
      <w:r>
        <w:t>August</w:t>
      </w:r>
      <w:r w:rsidRPr="00971065">
        <w:t xml:space="preserve"> 2014 using multispectral Landsat 7 Enhanced Thematic Mapper </w:t>
      </w:r>
      <w:r>
        <w:t xml:space="preserve">and Landsat 8 Operational Land Imager </w:t>
      </w:r>
      <w:r w:rsidRPr="00971065">
        <w:t>imagery</w:t>
      </w:r>
      <w:r>
        <w:t xml:space="preserve"> </w:t>
      </w:r>
      <w:r>
        <w:fldChar w:fldCharType="begin" w:fldLock="1"/>
      </w:r>
      <w:r>
        <w:instrText>ADDIN CSL_CITATION { "citationItems" : [ { "id" : "ITEM-1", "itemData" : { "DOI" : "10.1111/jbi.12550", "author" : [ { "dropping-particle" : "", "family" : "Bell", "given" : "Tom W", "non-dropping-particle" : "", "parse-names" : false, "suffix" : "" }, { "dropping-particle" : "", "family" : "Cavanaugh", "given" : "Kyle C", "non-dropping-particle" : "", "parse-names" : false, "suffix" : "" }, { "dropping-particle" : "", "family" : "Reed", "given" : "Daniel C", "non-dropping-particle" : "", "parse-names" : false, "suffix" : "" }, { "dropping-particle" : "", "family" : "Siegel", "given" : "David A", "non-dropping-particle" : "", "parse-names" : false, "suffix" : "" } ], "container-title" : "Journal of Biogeography", "id" : "ITEM-1", "issue" : "10", "issued" : { "date-parts" : [ [ "2015" ] ] }, "note" : "Bell et al. 2015-J. Biogeography-environmental controls on distribution of giant kelp in North America\nCan understand interplay of forces control giant kelp by looking at its spatial distribution through time. Examines distributions of giant kelp from Ano Nuevo to USA/Mexico border. Primary tool to analyze effects of temporal time series: EOFs (or PCA). Returns PCA results to physically realistic variables by regressing EOF loadings against physical variables (e.g. H_s, NPGO, MEI, etc.). Analyzes EOF results across both temporal and spatial dimensions. \n\nSig wave height is best predictor of kelp biomass in both southern CA and central CA (followed by nitrate availability as estiamted by SST and the state of the NPGO). Sea urchin control on kelp biomass only important in southern CA (which lacks sea otter populations).", "page" : "2010-2021", "title" : "Geographical variability in the controls of giant kelp biomass dynamics", "type" : "article-journal", "volume" : "42" }, "uris" : [ "http://www.mendeley.com/documents/?uuid=32d4d3e2-d05d-458b-875f-9d549092fdad" ] }, { "id" : "ITEM-2", "itemData" : { "DOI" : "10.3354/meps09141", "ISSN" : "0171-8630", "author" : [ { "dropping-particle" : "", "family" : "Cavanaugh", "given" : "Kyle C.", "non-dropping-particle" : "", "parse-names" : false, "suffix" : "" }, { "dropping-particle" : "", "family" : "Siegel", "given" : "Da", "non-dropping-particle" : "", "parse-names" : false, "suffix" : "" }, { "dropping-particle" : "", "family" : "Reed", "given" : "Dc", "non-dropping-particle" : "", "parse-names" : false, "suffix" : "" }, { "dropping-particle" : "", "family" : "Dennison", "given" : "Pe", "non-dropping-particle" : "", "parse-names" : false, "suffix" : "" } ], "container-title" : "Marine Ecology Progress Series", "id" : "ITEM-2", "issued" : { "date-parts" : [ [ "2011", "5", "16" ] ] }, "note" : "Cavanaugh et al. 2011-MEPS-Environmental drivers in explaining patterns of abundance of Macrocystis pyrifera in the Santa Barbara Channel \u00a0\u00a0\u00a0\u00a0\u00a0\u00a0\u00a0\u00a0\u00a0\u00a0\u00a0 Giant kelp-short lifespans and rapid growth rates=&amp;gt;very high biomass turnover=&amp;gt;sensitivity to changes in environmental conditions. S. CA kelp growth rates highest in winter and spring-high nutrient availability and low competition (due to low algal biomass). Kelp mortality due to senescence, grazing, and wave-driven disturbance. Role of resource availability vs. physical disturbance in shaping kelp biomass dynamics is still an open question. This study estimates kelp canopy biomass from the Landsat 5 Thematic Mapper (TM) sensor. Allows for 30m resolution every 1-2 months for 25 years (1984-2009). Study objective was to evaluate the effects of resource availability and physical disturbance on the kelp biomass in the Santa Barbara Channel over seasonal and interannual timescales. Pt. Conception natural oceanographic boundary in the Channel: Cal current to the north, S. CA eddy to the south, more upwelling to the north, less to the south, stronger storms north, and weaker ones south. Landsat 5 TM sensor has 30 m multispectral resolution coverage on a 16 day repeat cycle. Developed automated classification scheme to standardize all TM imagery. Used multiple endmember spectral mixture analysis model to estimate kelp canopy abundance. Modeled pixel reflectance as linear mixture of reflectance from two endmembers: kelp and water. Long period, more than short period, swell more important causing kelp mortality. Significant, but weak, neg correlations between log10(kelp) and SST and sig wave height-&amp;gt;proxies for nutrient availability. ", "page" : "1-17", "title" : "Environmental controls of giant-kelp biomass in the Santa Barbara Channel, California", "type" : "article-journal", "volume" : "429" }, "uris" : [ "http://www.mendeley.com/documents/?uuid=f7aa589c-6026-4851-b905-3deb068302eb" ] } ], "mendeley" : { "formattedCitation" : "(Bell et al., 2015a; Cavanaugh et al., 2011)", "plainTextFormattedCitation" : "(Bell et al., 2015a; Cavanaugh et al., 2011)", "previouslyFormattedCitation" : "(Bell et al., 2015a; Cavanaugh et al., 2011)" }, "properties" : { "noteIndex" : 0 }, "schema" : "https://github.com/citation-style-language/schema/raw/master/csl-citation.json" }</w:instrText>
      </w:r>
      <w:r>
        <w:fldChar w:fldCharType="separate"/>
      </w:r>
      <w:r w:rsidRPr="00A73062">
        <w:rPr>
          <w:noProof/>
        </w:rPr>
        <w:t>(Bell et al., 2015a; Cavanaugh et al., 2011)</w:t>
      </w:r>
      <w:r>
        <w:fldChar w:fldCharType="end"/>
      </w:r>
      <w:r w:rsidRPr="00971065">
        <w:t>. Briefly, each Landsat image was atmospherically corrected using 50 temporally stable pseudo-invariant targets to standardize radiometric signals across dates. The proportion of kelp canopy in each 30</w:t>
      </w:r>
      <w:r>
        <w:t>m</w:t>
      </w:r>
      <w:r w:rsidRPr="00971065">
        <w:t xml:space="preserve"> x 30m pixel was determined using multiple end</w:t>
      </w:r>
      <w:r>
        <w:t>-</w:t>
      </w:r>
      <w:r w:rsidRPr="00971065">
        <w:t xml:space="preserve">member spectral mixing analysis </w:t>
      </w:r>
      <w:r>
        <w:fldChar w:fldCharType="begin" w:fldLock="1"/>
      </w:r>
      <w:r>
        <w:instrText>ADDIN CSL_CITATION { "citationItems" : [ { "id" : "ITEM-1", "itemData" : { "DOI" : "10.1016/S0034-4257(98)00037-6", "ISBN" : "0034-4257", "ISSN" : "00344257", "PMID" : "8244773", "abstract" : "A new technique, called multiple endmember spectral mixture analysis (MESMA), was developed and tested in the Santa Monica Mountains, using Airborne Visible/Infrared Imaging Spectrometer (AVIRIS) data acquired in the fall of 1994 to map California chaparral. The technique models remotely measured spectra as linear combinations of pure spectra, called endmembers, while allowing the types and number of endmembers to vary on a per pixel basis. In this manner, vegetation is characterized by a unique set of endmembers as well as by the fractions. Reference endmembers were selected from a library of field and laboratory measured spectra of leaves, canopies, nonphotosynthetic materials (e.g., stems), and soils and used to develop a series of candidate models. Each candidate model was applied to the image, then, on a per pixel basis, assessed in terms of fractions, root mean squared (RMS) error, and residuals. If a model met all criteria, it was listed as a candidate for that pixel. For this study, selection criteria included fractions between -0.01 and 1.01, an RMS less than 0.025 and a residual less than 0.025 in seven or more contiguous bands. A total of 889 two-endmember models were evaluated and used to generate 276 three-endmember models. To facilitate model selection from a large pool of candidates, an optimal set was selected to provide maximal areal coverage. A total of 24 two-endmember and 12 three-endmember models were chosen. These models were used to generate fraction images and vegetation maps showing evergreen and drought deciduous or senesced vegetation. We found that a majority of the image could be modeled as two-endmember models. Three-endmember models provided greater areal coverage, yet provided poorer vegetation discrimination due to an increase in model overlap (two or more model candidates modeling the same pixel). The vegetation maps demonstrate that the technique is capable of discriminating a large number of spectrally distinct types of vegetation while capturing the mosaic-like spatial distribution typical of chaparral. However, additional research is required to fully evaluate the technique and validate the vegetation maps that were produced.", "author" : [ { "dropping-particle" : "", "family" : "Roberts", "given" : "D. A.", "non-dropping-particle" : "", "parse-names" : false, "suffix" : "" }, { "dropping-particle" : "", "family" : "Gardner", "given" : "M.", "non-dropping-particle" : "", "parse-names" : false, "suffix" : "" }, { "dropping-particle" : "", "family" : "Church", "given" : "R.", "non-dropping-particle" : "", "parse-names" : false, "suffix" : "" }, { "dropping-particle" : "", "family" : "Ustin", "given" : "S.", "non-dropping-particle" : "", "parse-names" : false, "suffix" : "" }, { "dropping-particle" : "", "family" : "Scheer", "given" : "G.", "non-dropping-particle" : "", "parse-names" : false, "suffix" : "" }, { "dropping-particle" : "", "family" : "Green", "given" : "R. O.", "non-dropping-particle" : "", "parse-names" : false, "suffix" : "" } ], "container-title" : "Remote Sensing of Environment", "id" : "ITEM-1", "issue" : "3", "issued" : { "date-parts" : [ [ "1998" ] ] }, "page" : "267-279", "title" : "Mapping chaparral in the Santa Monica Mountains using multiple endmember spectral mixture models", "type" : "article-journal", "volume" : "65" }, "uris" : [ "http://www.mendeley.com/documents/?uuid=1bf85494-80a7-41ff-835d-aa14ea458438" ] } ], "mendeley" : { "formattedCitation" : "(Roberts et al., 1998)", "plainTextFormattedCitation" : "(Roberts et al., 1998)", "previouslyFormattedCitation" : "(Roberts et al., 1998)" }, "properties" : { "noteIndex" : 0 }, "schema" : "https://github.com/citation-style-language/schema/raw/master/csl-citation.json" }</w:instrText>
      </w:r>
      <w:r>
        <w:fldChar w:fldCharType="separate"/>
      </w:r>
      <w:r w:rsidRPr="000447F9">
        <w:rPr>
          <w:noProof/>
        </w:rPr>
        <w:t>(Roberts et al., 1998)</w:t>
      </w:r>
      <w:r>
        <w:fldChar w:fldCharType="end"/>
      </w:r>
      <w:r>
        <w:t xml:space="preserve">, </w:t>
      </w:r>
      <w:r w:rsidRPr="00971065">
        <w:t xml:space="preserve">in which each pixel was </w:t>
      </w:r>
      <w:proofErr w:type="spellStart"/>
      <w:r w:rsidRPr="00971065">
        <w:t>modeled</w:t>
      </w:r>
      <w:proofErr w:type="spellEnd"/>
      <w:r w:rsidRPr="00971065">
        <w:t xml:space="preserve"> as a combination of 1 static kelp end</w:t>
      </w:r>
      <w:r>
        <w:t>-</w:t>
      </w:r>
      <w:r w:rsidRPr="00971065">
        <w:t>member and 30 seawater end</w:t>
      </w:r>
      <w:r>
        <w:t>-</w:t>
      </w:r>
      <w:r w:rsidRPr="00971065">
        <w:t xml:space="preserve">members, which were unique to each image. </w:t>
      </w:r>
      <w:r w:rsidR="00F662B3" w:rsidRPr="000E3435">
        <w:rPr>
          <w:rFonts w:ascii="Times" w:hAnsi="Times"/>
          <w:szCs w:val="20"/>
        </w:rPr>
        <w:t>Kelp canopy biomass</w:t>
      </w:r>
      <w:r w:rsidR="00F662B3">
        <w:rPr>
          <w:rFonts w:ascii="Times" w:hAnsi="Times"/>
          <w:szCs w:val="20"/>
        </w:rPr>
        <w:t xml:space="preserve"> and 95% confidence intervals were</w:t>
      </w:r>
      <w:r w:rsidR="00F662B3" w:rsidRPr="000E3435">
        <w:rPr>
          <w:rFonts w:ascii="Times" w:hAnsi="Times"/>
          <w:szCs w:val="20"/>
        </w:rPr>
        <w:t xml:space="preserve"> estimated </w:t>
      </w:r>
      <w:r w:rsidR="00F662B3">
        <w:rPr>
          <w:rFonts w:ascii="Times" w:hAnsi="Times"/>
          <w:szCs w:val="20"/>
        </w:rPr>
        <w:t>by comparing</w:t>
      </w:r>
      <w:r w:rsidR="00F662B3" w:rsidRPr="000E3435">
        <w:rPr>
          <w:rFonts w:ascii="Times" w:hAnsi="Times"/>
          <w:szCs w:val="20"/>
        </w:rPr>
        <w:t xml:space="preserve"> diver estimated canopy biomass and Landsat pixel kelp fraction </w:t>
      </w:r>
      <w:r w:rsidR="00F662B3">
        <w:rPr>
          <w:rFonts w:ascii="Times" w:hAnsi="Times"/>
          <w:szCs w:val="20"/>
        </w:rPr>
        <w:t xml:space="preserve">using a reduced major axis linear regression (MATLAB function </w:t>
      </w:r>
      <w:proofErr w:type="spellStart"/>
      <w:r w:rsidR="00F662B3" w:rsidRPr="000E3435">
        <w:rPr>
          <w:rFonts w:ascii="Times" w:hAnsi="Times"/>
          <w:szCs w:val="20"/>
        </w:rPr>
        <w:t>lsqfitgm</w:t>
      </w:r>
      <w:proofErr w:type="spellEnd"/>
      <w:r w:rsidR="00F662B3">
        <w:rPr>
          <w:rFonts w:ascii="Times" w:hAnsi="Times"/>
          <w:szCs w:val="20"/>
        </w:rPr>
        <w:t xml:space="preserve">; detailed methods in </w:t>
      </w:r>
      <w:r>
        <w:fldChar w:fldCharType="begin" w:fldLock="1"/>
      </w:r>
      <w:r w:rsidR="00D9418D">
        <w:instrText>ADDIN CSL_CITATION { "citationItems" : [ { "id" : "ITEM-1", "itemData" : { "DOI" : "10.3354/meps09141", "ISSN" : "0171-8630", "author" : [ { "dropping-particle" : "", "family" : "Cavanaugh", "given" : "Kyle C.", "non-dropping-particle" : "", "parse-names" : false, "suffix" : "" }, { "dropping-particle" : "", "family" : "Siegel", "given" : "Da", "non-dropping-particle" : "", "parse-names" : false, "suffix" : "" }, { "dropping-particle" : "", "family" : "Reed", "given" : "Dc", "non-dropping-particle" : "", "parse-names" : false, "suffix" : "" }, { "dropping-particle" : "", "family" : "Dennison", "given" : "Pe", "non-dropping-particle" : "", "parse-names" : false, "suffix" : "" } ], "container-title" : "Marine Ecology Progress Series", "id" : "ITEM-1", "issued" : { "date-parts" : [ [ "2011", "5", "16" ] ] }, "note" : "Cavanaugh et al. 2011-MEPS-Environmental drivers in explaining patterns of abundance of Macrocystis pyrifera in the Santa Barbara Channel \u00a0\u00a0\u00a0\u00a0\u00a0\u00a0\u00a0\u00a0\u00a0\u00a0\u00a0 Giant kelp-short lifespans and rapid growth rates=&amp;gt;very high biomass turnover=&amp;gt;sensitivity to changes in environmental conditions. S. CA kelp growth rates highest in winter and spring-high nutrient availability and low competition (due to low algal biomass). Kelp mortality due to senescence, grazing, and wave-driven disturbance. Role of resource availability vs. physical disturbance in shaping kelp biomass dynamics is still an open question. This study estimates kelp canopy biomass from the Landsat 5 Thematic Mapper (TM) sensor. Allows for 30m resolution every 1-2 months for 25 years (1984-2009). Study objective was to evaluate the effects of resource availability and physical disturbance on the kelp biomass in the Santa Barbara Channel over seasonal and interannual timescales. Pt. Conception natural oceanographic boundary in the Channel: Cal current to the north, S. CA eddy to the south, more upwelling to the north, less to the south, stronger storms north, and weaker ones south. Landsat 5 TM sensor has 30 m multispectral resolution coverage on a 16 day repeat cycle. Developed automated classification scheme to standardize all TM imagery. Used multiple endmember spectral mixture analysis model to estimate kelp canopy abundance. Modeled pixel reflectance as linear mixture of reflectance from two endmembers: kelp and water. Long period, more than short period, swell more important causing kelp mortality. Significant, but weak, neg correlations between log10(kelp) and SST and sig wave height-&amp;gt;proxies for nutrient availability. ", "page" : "1-17", "title" : "Environmental controls of giant-kelp biomass in the Santa Barbara Channel, California", "type" : "article-journal", "volume" : "429" }, "uris" : [ "http://www.mendeley.com/documents/?uuid=f7aa589c-6026-4851-b905-3deb068302eb" ] } ], "mendeley" : { "formattedCitation" : "(Cavanaugh et al., 2011)", "manualFormatting" : "Cavanaugh et al. [2011]", "plainTextFormattedCitation" : "(Cavanaugh et al., 2011)", "previouslyFormattedCitation" : "(Cavanaugh et al., 2011)" }, "properties" : { "noteIndex" : 0 }, "schema" : "https://github.com/citation-style-language/schema/raw/master/csl-citation.json" }</w:instrText>
      </w:r>
      <w:r>
        <w:fldChar w:fldCharType="separate"/>
      </w:r>
      <w:r w:rsidRPr="00971065">
        <w:rPr>
          <w:noProof/>
        </w:rPr>
        <w:t xml:space="preserve">Cavanaugh et al. </w:t>
      </w:r>
      <w:r w:rsidR="00205C9A">
        <w:rPr>
          <w:noProof/>
        </w:rPr>
        <w:t>[</w:t>
      </w:r>
      <w:r w:rsidRPr="00971065">
        <w:rPr>
          <w:noProof/>
        </w:rPr>
        <w:t>2011</w:t>
      </w:r>
      <w:r w:rsidR="00205C9A">
        <w:rPr>
          <w:noProof/>
        </w:rPr>
        <w:t>]</w:t>
      </w:r>
      <w:r>
        <w:fldChar w:fldCharType="end"/>
      </w:r>
      <w:r>
        <w:t>)</w:t>
      </w:r>
      <w:r w:rsidRPr="00971065">
        <w:t>.</w:t>
      </w:r>
    </w:p>
    <w:p w14:paraId="6040BC6F" w14:textId="248220DB" w:rsidR="00831717" w:rsidRDefault="00831717" w:rsidP="000C2974">
      <w:pPr>
        <w:pStyle w:val="Heading2"/>
        <w:spacing w:line="360" w:lineRule="auto"/>
      </w:pPr>
      <w:r>
        <w:t>2.</w:t>
      </w:r>
      <w:r w:rsidR="001275B7">
        <w:t>6</w:t>
      </w:r>
      <w:r>
        <w:t xml:space="preserve"> Current velocity time series</w:t>
      </w:r>
    </w:p>
    <w:p w14:paraId="699103F6" w14:textId="7E693620" w:rsidR="00831717" w:rsidRDefault="00831717" w:rsidP="000C2974">
      <w:r>
        <w:tab/>
        <w:t>Water-column velocity was measured continuously near the exposed and protected sites in the middle of the kelp forest using bottom-mounted Acoustic Doppler Current Profilers (RD Instruments, 1200 kHz). The instruments recorded ensemble averaged velocities every 3 minutes in 0.5 m bins extending from ~1.5 m above the bottom to ~1.5 m below the surface. The instrument on the protected side of the kelp forest was deployed throughout this study, while the instrument on the exposed side of the kelp forest was deployed through December 2013.</w:t>
      </w:r>
    </w:p>
    <w:p w14:paraId="525610B6" w14:textId="053FE47A" w:rsidR="00831717" w:rsidRDefault="00831717" w:rsidP="000C2974">
      <w:pPr>
        <w:pStyle w:val="Heading1"/>
        <w:spacing w:line="360" w:lineRule="auto"/>
      </w:pPr>
      <w:r>
        <w:t>3. Results</w:t>
      </w:r>
    </w:p>
    <w:p w14:paraId="048F3B83" w14:textId="321B2232" w:rsidR="000C2974" w:rsidRDefault="000C2974" w:rsidP="000C2974">
      <w:pPr>
        <w:pStyle w:val="Heading2"/>
      </w:pPr>
      <w:r>
        <w:t>3.1 Kelp canopy biomass</w:t>
      </w:r>
    </w:p>
    <w:p w14:paraId="42512E81" w14:textId="07186B53" w:rsidR="000C2974" w:rsidRDefault="000C2974" w:rsidP="000C2974">
      <w:r>
        <w:tab/>
        <w:t xml:space="preserve">Satellite-estimated kelp canopy biomass displayed a strong seasonal cycle, consistent with previous observations of the strong seasonality of kelp canopy biomass in central California </w:t>
      </w:r>
      <w:r>
        <w:fldChar w:fldCharType="begin" w:fldLock="1"/>
      </w:r>
      <w:r>
        <w:instrText>ADDIN CSL_CITATION { "citationItems" : [ { "id" : "ITEM-1", "itemData" : { "ISSN" : "0012-9658", "PMID" : "22164835", "abstract" : "We took advantage of regional differences in environmental forcing and consumer abundance to examine the relative importance of nutrient availability (bottom-up), grazing pressure (top-down), and storm waves (disturbance) in determining the standing biomass and net primary production (NPP) of the giant kelp Macrocystis pyrifera in central and southern California. Using a nine-year data set collected from 17 sites we show that, despite high densities of sea urchin grazers and prolonged periods of low nutrient availability in southern California, NPP by giant kelp was twice that of central California where nutrient concentrations were consistently high and sea urchins were nearly absent due to predation by sea otters. Waves associated with winter storms were consistently higher in central California, and the loss of kelp biomass to winter wave disturbance was on average twice that of southern California. These observations suggest that the more intense wave disturbance in central California limited NPP by giant kelp under otherwise favorable conditions. Regional patterns of interannual variation in NPP were similar to those of wave disturbance in that year-to-year variation in disturbance and NPP were both greater in southern California. Our findings provide strong evidence that regional differences in wave disturbance overwhelmed those of nutrient supply and grazing intensity to determine NPP by giant kelp. The important role of disturbance in controlling NPP revealed by our study is likely not unique to giant kelp forests, as vegetation dynamics in many systems are dominated by post-disturbance succession with climax communities being relatively uncommon. The effects of disturbance frequency may be easier to detect in giant kelp because it is fast growing and relatively short lived, with cycles of disturbance and recovery occurring on time scales of years. Much longer data sets (decades to centuries) will likely be needed to properly evaluate the role of disturbance relative to other processes in determining patterns of NPP in other systems.", "author" : [ { "dropping-particle" : "", "family" : "Reed", "given" : "Daniel C.", "non-dropping-particle" : "", "parse-names" : false, "suffix" : "" }, { "dropping-particle" : "", "family" : "Rassweiler", "given" : "Andrew", "non-dropping-particle" : "", "parse-names" : false, "suffix" : "" }, { "dropping-particle" : "", "family" : "Carr", "given" : "Mark H", "non-dropping-particle" : "", "parse-names" : false, "suffix" : "" }, { "dropping-particle" : "", "family" : "Cavanaugh", "given" : "Kyle C.", "non-dropping-particle" : "", "parse-names" : false, "suffix" : "" }, { "dropping-particle" : "", "family" : "Malone", "given" : "Daniel P.", "non-dropping-particle" : "", "parse-names" : false, "suffix" : "" }, { "dropping-particle" : "", "family" : "Siegel", "given" : "David A.", "non-dropping-particle" : "", "parse-names" : false, "suffix" : "" } ], "container-title" : "Ecology", "id" : "ITEM-1", "issue" : "11", "issued" : { "date-parts" : [ [ "2011", "11" ] ] }, "note" : "Reed et al.\u00a0 2011-Ecology-Top-down vs. bottom up controls on biomass and NPP in a Southern CA kelp forest \n\u00a0\u00a0\u00a0\u00a0\u00a0\u00a0\u00a0\u00a0\u00a0\u00a0\u00a0 Physical disturbances superimposed upon the balance of top-down and bottom-up controls on NPP in an ecosystem. Study utilizes natural gradients in environmental forcings and predator densities along kelp forests off the CA coast as a natural laboratory in order to understand the relative importances of top-down, bottom-up, and physical disturbance controls on structuring ecosystem productivity. If only top-down and bottom-up controls were important in kelp forests (i.e. no physical disturbance), would expect to find central CA more productive than southern CA due to the presence of sea otters (predates on sea urchins) and more nutrients. But did not find these patterns=&amp;gt;ecosystems structure by more than just top-down and bottom-up controls. Found that central CA was less productive due to increased storm disturbance. Largest waves in winter and smallest waves in summer. Wave removal of kelp forest canopy in central CA was both stronger and less variable than that in southern CA. The influence of wave action led to greater annual NPP in southern CA (~2.25 kg dry mass/m^2/yr) than that in central CA (~1.25 kg dry mass/m^2/yr). Macrocystis pyrifera more susceptible to wave action because it forms giant canopies near the surface=&amp;gt;tremendous drag (not true of other kelp species or other smaller primary producers in the understory of kelp forests).", "page" : "2108-16", "title" : "Wave disturbance overwhelms top-down and bottom-up control of primary production in California kelp forests.", "type" : "article-journal", "volume" : "92" }, "uris" : [ "http://www.mendeley.com/documents/?uuid=df49abe7-5af1-490a-a50d-b8a090b0ae73" ] }, { "id" : "ITEM-2", "itemData" : { "DOI" : "10.1016/j.rse.2015.05.003", "ISBN" : "0034-4257", "ISSN" : "00344257", "abstract" : "This study examines the potential of the Hyperspectral Infrared Imager (HyspIRI) mission for monitoring the biomass and physiological condition of giant kelp forests on local to global scales. Giant kelp is a highly dynamic foundation species that supports an ecologically and economically important ecosystem found throughout the globe. Satellite, airborne, and field data are used to evaluate the suitability of HyspIRI's spatial, temporal, and spectral coverage for capturing variability in giant kelp biomass and physiological state. We analyze a 28-year time series of giant kelp biomass derived from Landsat satellite imagery in order to identify the dominant temporal modes of variability in giant kelp biomass using the California coast as a model region likely to be relevant to other regions of the globe. Temporal variability in California kelp canopy biomass is compared to the expected availability of cloud-free HyspIRI Visible Shortwave Infrared (VSWIR) views for regions of the world that contain giant kelp populations. Spectral variability is explored by assessing how changes in the physiological condition of giant kelp canopy are exhibited in the reflectance and transmittance of kelp fronds. We compare chlorophyll a to carbon ratios (Chl:C) of kelp fronds collected off the coast of California to laboratory and airborne measurements of hyperspectral reflectance in order to develop metrics of kelp physiological condition. The seasonal cycle dominates giant kelp canopy biomass temporal variability. However, the strength and timing of this cycle varies in both space and time. Our projections of cloud-free HyspIRI coverage indicate that the sensor will be able to capture at least 1 cloud free view each season for nearly all of the global giant kelp habitats, thereby illustrating that HyspIRI will resolve the dominant seasonal cycles in giant kelp biomass. A novel spectral index developed here from field observations explained 76% of the variance in Chl:C and was applied to hyperspectral aircraft observations. These results demonstrate that the spatial, temporal, and spectral coverage provided by HyspIRI has the potential to provide new insights into the ecology and biophysiology of giant kelp.", "author" : [ { "dropping-particle" : "", "family" : "Bell", "given" : "Tom W.", "non-dropping-particle" : "", "parse-names" : false, "suffix" : "" }, { "dropping-particle" : "", "family" : "Cavanaugh", "given" : "Kyle C.", "non-dropping-particle" : "", "parse-names" : false, "suffix" : "" }, { "dropping-particle" : "", "family" : "Siegel", "given" : "David A.", "non-dropping-particle" : "", "parse-names" : false, "suffix" : "" } ], "container-title" : "Remote Sensing of Environment", "id" : "ITEM-2", "issued" : { "date-parts" : [ [ "2015" ] ] }, "page" : "218-228", "publisher" : "Elsevier Inc.", "title" : "Remote monitoring of giant kelp biomass and physiological condition: An evaluation of the potential for the Hyperspectral Infrared Imager (HyspIRI) mission", "type" : "article-journal", "volume" : "167" }, "uris" : [ "http://www.mendeley.com/documents/?uuid=2a7bf520-12b8-4d53-b623-9e7178362efa" ] } ], "mendeley" : { "formattedCitation" : "(Bell et al., 2015b; Reed et al., 2011)", "plainTextFormattedCitation" : "(Bell et al., 2015b; Reed et al., 2011)", "previouslyFormattedCitation" : "(Bell et al., 2015b; Reed et al., 2011)" }, "properties" : { "noteIndex" : 0 }, "schema" : "https://github.com/citation-style-language/schema/raw/master/csl-citation.json" }</w:instrText>
      </w:r>
      <w:r>
        <w:fldChar w:fldCharType="separate"/>
      </w:r>
      <w:r w:rsidRPr="000447F9">
        <w:rPr>
          <w:noProof/>
        </w:rPr>
        <w:t>(Bell et al., 2015b; Reed et al., 2011)</w:t>
      </w:r>
      <w:r>
        <w:fldChar w:fldCharType="end"/>
      </w:r>
      <w:r>
        <w:t>. Canopy biomass increased throughout spring, reached a maximum during the summer months, and decreased throughout the fall, reaching minimum values in the winter. The timing of kelp growth, senescence, and canopy biomass range were generally consistent between the wave-protected and wave-exposed sides of the kelp forest (Fig. 2a). However, canopy biomass on the exposed side began to decline slightly before canopy biomass on the protected side in summer 2014, leading to a decoupling of canopy biomass between the two sides from June-September 2014.</w:t>
      </w:r>
    </w:p>
    <w:p w14:paraId="0CC453DB" w14:textId="717D5840" w:rsidR="000C2974" w:rsidRDefault="000C2974" w:rsidP="000C2974">
      <w:pPr>
        <w:pStyle w:val="Heading2"/>
        <w:spacing w:line="360" w:lineRule="auto"/>
      </w:pPr>
      <w:r>
        <w:t>3.2 Water column structure</w:t>
      </w:r>
    </w:p>
    <w:p w14:paraId="71FBE7A9" w14:textId="12C01690" w:rsidR="000C2974" w:rsidRDefault="000C2974" w:rsidP="000C2974">
      <w:r>
        <w:tab/>
        <w:t>The kelp forest water column was strongly influenced by seasonal variations in surface and bottom water temperature. We use the protected side transect, which spans the largest range in site depths, to examine these processes in detail (Fig. 3). During the spring, cold (~10</w:t>
      </w:r>
      <w:r w:rsidRPr="00DB1E1F">
        <w:rPr>
          <w:color w:val="000000"/>
        </w:rPr>
        <w:t>°</w:t>
      </w:r>
      <w:r>
        <w:t xml:space="preserve">C), dense bottom water was advected into the deepest kelp forest site (Protected </w:t>
      </w:r>
      <w:r>
        <w:lastRenderedPageBreak/>
        <w:t>Offshore), causing water column temperature differences of up to 4</w:t>
      </w:r>
      <w:r w:rsidRPr="00DB1E1F">
        <w:rPr>
          <w:color w:val="000000"/>
        </w:rPr>
        <w:t>°</w:t>
      </w:r>
      <w:r>
        <w:t>C</w:t>
      </w:r>
      <w:r w:rsidR="002E1296">
        <w:t xml:space="preserve"> </w:t>
      </w:r>
      <w:r w:rsidR="00132A93">
        <w:t>across</w:t>
      </w:r>
      <w:r w:rsidR="002E1296">
        <w:t xml:space="preserve"> 16 meters depth</w:t>
      </w:r>
      <w:r>
        <w:t>. This cold bottom water did not reach further inshore along the bottom of the shallower, inwards Protected Middle and Protected Inside sites (Fig. 3). Surface heating during summer 2014 resulted in uniformly warm surface waters (~16-18</w:t>
      </w:r>
      <w:r w:rsidRPr="00DB1E1F">
        <w:rPr>
          <w:color w:val="000000"/>
        </w:rPr>
        <w:t>°</w:t>
      </w:r>
      <w:r>
        <w:t xml:space="preserve">C) across the sites along the protected transect. Reduced stratification at the shallower Protected Inside site allowed warmer surface waters to mix downwards, which resulted in a nearly isothermal water column whereas temperature stratification was maintained in the deeper Protected Offshore site. Salinity showed a seasonal cycle across all three sites of the protected transect with higher salinity during upwelling season, where values ranged from ~33.6-34, as compared to less saline winter months, where salinity ranged from 33-33.6 (Fig. S3). However, there was little evidence for depth-dependent variation in salinity, suggesting that temperature was the dominant control on water column stratification. These patterns were similar across all sites. </w:t>
      </w:r>
    </w:p>
    <w:p w14:paraId="1AF99D10" w14:textId="7A0CBDAE" w:rsidR="000C2974" w:rsidRPr="000C2974" w:rsidRDefault="000C2974" w:rsidP="000C2974">
      <w:r>
        <w:tab/>
        <w:t xml:space="preserve">Water column stratification, as quantified by </w:t>
      </w:r>
      <w:r w:rsidR="0021306A" w:rsidRPr="00F47660">
        <w:rPr>
          <w:position w:val="-10"/>
        </w:rPr>
        <w:object w:dxaOrig="360" w:dyaOrig="320" w14:anchorId="53B0F7F4">
          <v:shape id="_x0000_i1061" type="#_x0000_t75" style="width:18pt;height:16pt" o:ole="">
            <v:imagedata r:id="rId23" o:title=""/>
          </v:shape>
          <o:OLEObject Type="Embed" ProgID="Equation.DSMT4" ShapeID="_x0000_i1061" DrawAspect="Content" ObjectID="_1417271576" r:id="rId24"/>
        </w:object>
      </w:r>
      <w:r>
        <w:t xml:space="preserve">, was greatest and most variable from the start of upwelling season throughout the fall where </w:t>
      </w:r>
      <w:r w:rsidR="0021306A" w:rsidRPr="00F47660">
        <w:rPr>
          <w:position w:val="-10"/>
        </w:rPr>
        <w:object w:dxaOrig="360" w:dyaOrig="320" w14:anchorId="32CB0BD6">
          <v:shape id="_x0000_i1063" type="#_x0000_t75" style="width:18pt;height:16pt" o:ole="">
            <v:imagedata r:id="rId25" o:title=""/>
          </v:shape>
          <o:OLEObject Type="Embed" ProgID="Equation.DSMT4" ShapeID="_x0000_i1063" DrawAspect="Content" ObjectID="_1417271577" r:id="rId26"/>
        </w:object>
      </w:r>
      <w:r>
        <w:t xml:space="preserve"> exceeded 1 kg m</w:t>
      </w:r>
      <w:r w:rsidRPr="00863AFD">
        <w:rPr>
          <w:vertAlign w:val="superscript"/>
        </w:rPr>
        <w:t>-3</w:t>
      </w:r>
      <w:r>
        <w:t xml:space="preserve">, with strong site-to-site variability (e.g., June-August 2014; Fig. 2b). Throughout most of the year, </w:t>
      </w:r>
      <w:r w:rsidR="0021306A" w:rsidRPr="00F47660">
        <w:rPr>
          <w:position w:val="-10"/>
        </w:rPr>
        <w:object w:dxaOrig="360" w:dyaOrig="320" w14:anchorId="1BCEEEFE">
          <v:shape id="_x0000_i1065" type="#_x0000_t75" style="width:18pt;height:16pt" o:ole="">
            <v:imagedata r:id="rId27" o:title=""/>
          </v:shape>
          <o:OLEObject Type="Embed" ProgID="Equation.DSMT4" ShapeID="_x0000_i1065" DrawAspect="Content" ObjectID="_1417271578" r:id="rId28"/>
        </w:object>
      </w:r>
      <w:r>
        <w:t xml:space="preserve"> was greatest and most variable at the Protected Offshore, KFA, Exposed Offshore, and Exposed Mid sites. Protected Middle and Protected Inside typically, although not always, had lower </w:t>
      </w:r>
      <w:r w:rsidR="0021306A" w:rsidRPr="00F47660">
        <w:rPr>
          <w:position w:val="-10"/>
        </w:rPr>
        <w:object w:dxaOrig="360" w:dyaOrig="320" w14:anchorId="055C9455">
          <v:shape id="_x0000_i1067" type="#_x0000_t75" style="width:18pt;height:16pt" o:ole="">
            <v:imagedata r:id="rId29" o:title=""/>
          </v:shape>
          <o:OLEObject Type="Embed" ProgID="Equation.DSMT4" ShapeID="_x0000_i1067" DrawAspect="Content" ObjectID="_1417271579" r:id="rId30"/>
        </w:object>
      </w:r>
      <w:r>
        <w:t xml:space="preserve"> and less variability from week-to-week. All sites were minimally stratified in the winter months, as </w:t>
      </w:r>
      <w:r w:rsidR="0021306A" w:rsidRPr="00F47660">
        <w:rPr>
          <w:position w:val="-10"/>
        </w:rPr>
        <w:object w:dxaOrig="360" w:dyaOrig="320" w14:anchorId="7D9964F0">
          <v:shape id="_x0000_i1069" type="#_x0000_t75" style="width:18pt;height:16pt" o:ole="">
            <v:imagedata r:id="rId31" o:title=""/>
          </v:shape>
          <o:OLEObject Type="Embed" ProgID="Equation.DSMT4" ShapeID="_x0000_i1069" DrawAspect="Content" ObjectID="_1417271580" r:id="rId32"/>
        </w:object>
      </w:r>
      <w:r>
        <w:t xml:space="preserve"> generally stayed below 0.4 kg m</w:t>
      </w:r>
      <w:r w:rsidRPr="00863AFD">
        <w:rPr>
          <w:vertAlign w:val="superscript"/>
        </w:rPr>
        <w:t>-3</w:t>
      </w:r>
      <w:r>
        <w:t xml:space="preserve"> and was generally less than 0.2 kg m</w:t>
      </w:r>
      <w:r w:rsidRPr="00863AFD">
        <w:rPr>
          <w:vertAlign w:val="superscript"/>
        </w:rPr>
        <w:t>-3</w:t>
      </w:r>
      <w:r>
        <w:rPr>
          <w:vertAlign w:val="superscript"/>
        </w:rPr>
        <w:softHyphen/>
      </w:r>
      <w:r>
        <w:rPr>
          <w:vertAlign w:val="superscript"/>
        </w:rPr>
        <w:softHyphen/>
      </w:r>
      <w:r>
        <w:t xml:space="preserve"> in December 2013-February 2014. Site-to-site variability was also reduced in the winter months, although there was one anomalously high stratification observation at the Exposed Offshore site in early January 2014, where </w:t>
      </w:r>
      <w:r w:rsidR="0021306A" w:rsidRPr="00F47660">
        <w:rPr>
          <w:position w:val="-10"/>
        </w:rPr>
        <w:object w:dxaOrig="360" w:dyaOrig="320" w14:anchorId="16028749">
          <v:shape id="_x0000_i1071" type="#_x0000_t75" style="width:18pt;height:16pt" o:ole="">
            <v:imagedata r:id="rId33" o:title=""/>
          </v:shape>
          <o:OLEObject Type="Embed" ProgID="Equation.DSMT4" ShapeID="_x0000_i1071" DrawAspect="Content" ObjectID="_1417271581" r:id="rId34"/>
        </w:object>
      </w:r>
      <w:r>
        <w:t xml:space="preserve"> nearly reached 1 kg m</w:t>
      </w:r>
      <w:r w:rsidRPr="00863AFD">
        <w:rPr>
          <w:vertAlign w:val="superscript"/>
        </w:rPr>
        <w:t>-3</w:t>
      </w:r>
      <w:r>
        <w:t>.</w:t>
      </w:r>
    </w:p>
    <w:p w14:paraId="548639DB" w14:textId="169D7115" w:rsidR="00DD0EDE" w:rsidRDefault="000C2974" w:rsidP="000C2974">
      <w:pPr>
        <w:pStyle w:val="Heading2"/>
        <w:spacing w:line="360" w:lineRule="auto"/>
      </w:pPr>
      <w:r>
        <w:t>3.3 CO</w:t>
      </w:r>
      <w:r w:rsidRPr="000C2974">
        <w:rPr>
          <w:vertAlign w:val="subscript"/>
        </w:rPr>
        <w:t>2</w:t>
      </w:r>
      <w:r>
        <w:t xml:space="preserve"> system chemistry time series</w:t>
      </w:r>
    </w:p>
    <w:p w14:paraId="409D74B2" w14:textId="2F333838" w:rsidR="000C2974" w:rsidRDefault="000C2974" w:rsidP="000C2974">
      <w:r>
        <w:tab/>
        <w:t xml:space="preserve">The 14-month time series of DIC for all six sites near the surface (1 m below sea level) and the bottom (1 m above the sea floor) exhibited strong week-to-week, site-to-site, and seasonal variability (Fig. 4a). Bottom DIC frequently exceeded </w:t>
      </w:r>
      <w:proofErr w:type="gramStart"/>
      <w:r>
        <w:t xml:space="preserve">2100 </w:t>
      </w:r>
      <w:proofErr w:type="spellStart"/>
      <w:r w:rsidRPr="00DA6BEF">
        <w:t>μ</w:t>
      </w:r>
      <w:r>
        <w:t>mol</w:t>
      </w:r>
      <w:proofErr w:type="spellEnd"/>
      <w:proofErr w:type="gramEnd"/>
      <w:r>
        <w:t xml:space="preserve"> kg</w:t>
      </w:r>
      <w:r w:rsidRPr="00DA6BEF">
        <w:rPr>
          <w:vertAlign w:val="superscript"/>
        </w:rPr>
        <w:t>-1</w:t>
      </w:r>
      <w:r>
        <w:t xml:space="preserve"> during Fall 2013 and exceeded 2200 </w:t>
      </w:r>
      <w:proofErr w:type="spellStart"/>
      <w:r w:rsidRPr="00DA6BEF">
        <w:t>μ</w:t>
      </w:r>
      <w:r>
        <w:t>mol</w:t>
      </w:r>
      <w:proofErr w:type="spellEnd"/>
      <w:r>
        <w:t xml:space="preserve"> kg</w:t>
      </w:r>
      <w:r w:rsidRPr="00DA6BEF">
        <w:rPr>
          <w:vertAlign w:val="superscript"/>
        </w:rPr>
        <w:t>-1</w:t>
      </w:r>
      <w:r>
        <w:t xml:space="preserve"> at all sites except Protected Middle during April-May 2014. The </w:t>
      </w:r>
      <w:r w:rsidR="00132A93">
        <w:t xml:space="preserve">four deepest </w:t>
      </w:r>
      <w:r>
        <w:t xml:space="preserve">sites typically had highest bottom DIC during the spring and summer months, although the site-to-site variability disappeared during the winter. Surface DIC concentrations were generally much more spatially homogeneous than bottom water DIC concentrations. Surface DIC reached minimum values during spring and summer months when DIC was frequently less than 2000 </w:t>
      </w:r>
      <w:proofErr w:type="spellStart"/>
      <w:r w:rsidRPr="00DA6BEF">
        <w:t>μ</w:t>
      </w:r>
      <w:r>
        <w:t>mol</w:t>
      </w:r>
      <w:proofErr w:type="spellEnd"/>
      <w:r>
        <w:t xml:space="preserve"> kg</w:t>
      </w:r>
      <w:r w:rsidRPr="00DA6BEF">
        <w:rPr>
          <w:vertAlign w:val="superscript"/>
        </w:rPr>
        <w:t>-1</w:t>
      </w:r>
      <w:r>
        <w:t xml:space="preserve">. </w:t>
      </w:r>
    </w:p>
    <w:p w14:paraId="7392AA80" w14:textId="5B007AD5" w:rsidR="000C2974" w:rsidRPr="00C72A96" w:rsidRDefault="000C2974" w:rsidP="000C2974">
      <w:r>
        <w:tab/>
        <w:t xml:space="preserve">The time series of surface and bottom TA shows reduced variability compared to the DIC time series (Fig. 4b). Surface and bottom TA samples generally ranged from 2240 to 2260 </w:t>
      </w:r>
      <w:proofErr w:type="spellStart"/>
      <w:r w:rsidRPr="00DA6BEF">
        <w:t>μ</w:t>
      </w:r>
      <w:r>
        <w:t>mol</w:t>
      </w:r>
      <w:proofErr w:type="spellEnd"/>
      <w:r>
        <w:t xml:space="preserve"> kg</w:t>
      </w:r>
      <w:r w:rsidRPr="00DA6BEF">
        <w:rPr>
          <w:vertAlign w:val="superscript"/>
        </w:rPr>
        <w:t>-1</w:t>
      </w:r>
      <w:r>
        <w:t>, with occasional higher values observed. Unlike DIC, TA d</w:t>
      </w:r>
      <w:r w:rsidR="00FD67D0">
        <w:t>id</w:t>
      </w:r>
      <w:r>
        <w:t xml:space="preserve"> not show any consistent surface-to-bottom gradients throughout the time series. Increased TA during the upwelling season was likely due to the high nutrient content of the source waters being advected into the kelp forest. </w:t>
      </w:r>
    </w:p>
    <w:p w14:paraId="1955317D" w14:textId="3C7529F3" w:rsidR="000C2974" w:rsidRDefault="000C2974" w:rsidP="000C2974">
      <w:r>
        <w:lastRenderedPageBreak/>
        <w:tab/>
        <w:t>Time series of pH, pCO</w:t>
      </w:r>
      <w:r w:rsidRPr="007412C8">
        <w:rPr>
          <w:vertAlign w:val="subscript"/>
        </w:rPr>
        <w:t>2</w:t>
      </w:r>
      <w:r>
        <w:t xml:space="preserve">, and </w:t>
      </w:r>
      <w:r w:rsidRPr="002468E8">
        <w:t>Ω</w:t>
      </w:r>
      <w:r w:rsidRPr="002468E8">
        <w:rPr>
          <w:vertAlign w:val="subscript"/>
        </w:rPr>
        <w:t>Ar</w:t>
      </w:r>
      <w:r>
        <w:t xml:space="preserve"> all exhibited similar properties to the DIC time series with strong week-to-week, site-to-site, and seasonal variability (Fig. 5). Minimum pH values in bottom samples ranged from 7.70-7.79 across the six sites, and pH minima grouped closely to site depth, where the four deeper sites ha</w:t>
      </w:r>
      <w:r w:rsidR="00326E63">
        <w:t>d</w:t>
      </w:r>
      <w:r>
        <w:t xml:space="preserve"> pH minima which ranged from 7.70-7.72, while the pH minima at Protected Middle was 7.78 and the pH minima at Protected Inside was 7.79 (Fig. 5a). Bottom </w:t>
      </w:r>
      <w:r w:rsidRPr="002468E8">
        <w:t>Ω</w:t>
      </w:r>
      <w:r w:rsidRPr="002468E8">
        <w:rPr>
          <w:vertAlign w:val="subscript"/>
        </w:rPr>
        <w:t>Ar</w:t>
      </w:r>
      <w:r>
        <w:t xml:space="preserve"> values exhibited similar clustering as pH. Surface pCO</w:t>
      </w:r>
      <w:r w:rsidRPr="0077601F">
        <w:rPr>
          <w:vertAlign w:val="subscript"/>
        </w:rPr>
        <w:t>2</w:t>
      </w:r>
      <w:r>
        <w:rPr>
          <w:vertAlign w:val="subscript"/>
        </w:rPr>
        <w:t xml:space="preserve"> </w:t>
      </w:r>
      <w:r>
        <w:t xml:space="preserve">was </w:t>
      </w:r>
      <w:proofErr w:type="spellStart"/>
      <w:r>
        <w:t>undersaturated</w:t>
      </w:r>
      <w:proofErr w:type="spellEnd"/>
      <w:r>
        <w:t xml:space="preserve"> </w:t>
      </w:r>
      <w:r w:rsidR="00326E63">
        <w:t xml:space="preserve">with respect to the atmosphere </w:t>
      </w:r>
      <w:r>
        <w:t xml:space="preserve">(&lt;400 </w:t>
      </w:r>
      <w:proofErr w:type="spellStart"/>
      <w:r w:rsidRPr="00DA6BEF">
        <w:t>μ</w:t>
      </w:r>
      <w:r>
        <w:t>atm</w:t>
      </w:r>
      <w:proofErr w:type="spellEnd"/>
      <w:r>
        <w:t>) through the early fall, spring, and summer, although week-to-week variability resulted in periods of pCO</w:t>
      </w:r>
      <w:r w:rsidRPr="0077601F">
        <w:rPr>
          <w:vertAlign w:val="subscript"/>
        </w:rPr>
        <w:t>2</w:t>
      </w:r>
      <w:r>
        <w:t xml:space="preserve"> saturation and </w:t>
      </w:r>
      <w:proofErr w:type="spellStart"/>
      <w:r>
        <w:t>supersaturation</w:t>
      </w:r>
      <w:proofErr w:type="spellEnd"/>
      <w:r>
        <w:t xml:space="preserve"> during July and August 2014 (Fig. 5b). We observed </w:t>
      </w:r>
      <w:r w:rsidRPr="002468E8">
        <w:t>Ω</w:t>
      </w:r>
      <w:r w:rsidRPr="002468E8">
        <w:rPr>
          <w:vertAlign w:val="subscript"/>
        </w:rPr>
        <w:t>Ar</w:t>
      </w:r>
      <w:r>
        <w:t xml:space="preserve"> </w:t>
      </w:r>
      <w:proofErr w:type="spellStart"/>
      <w:r>
        <w:t>undersaturation</w:t>
      </w:r>
      <w:proofErr w:type="spellEnd"/>
      <w:r>
        <w:t xml:space="preserve"> (</w:t>
      </w:r>
      <w:r w:rsidRPr="002468E8">
        <w:t>Ω</w:t>
      </w:r>
      <w:r w:rsidRPr="002468E8">
        <w:rPr>
          <w:vertAlign w:val="subscript"/>
        </w:rPr>
        <w:t>Ar</w:t>
      </w:r>
      <w:r>
        <w:t>&lt;1) five times: at Protected Offshore on 25 April 2014 and 14 May 2014 and at KFA, Exposed Offshore, and Exposed Middle on 14 May 2014. Table 2 provides a summary of all carbon system variable ranges.</w:t>
      </w:r>
    </w:p>
    <w:p w14:paraId="010DAE56" w14:textId="0616BA0F" w:rsidR="000C2974" w:rsidRDefault="000C2974" w:rsidP="000C2974">
      <w:pPr>
        <w:pStyle w:val="Heading2"/>
      </w:pPr>
      <w:r>
        <w:t>3.4 Surface-to-bottom variability</w:t>
      </w:r>
    </w:p>
    <w:p w14:paraId="66C0ACFA" w14:textId="08A26B7B" w:rsidR="000C2974" w:rsidRDefault="000C2974" w:rsidP="000C2974">
      <w:r>
        <w:tab/>
        <w:t xml:space="preserve">The combination of maximum kelp abundance and water column stratification led to greatest carbon system variability within the kelp forest during the upwelling season (~March-September). Ranges in DIC along the top, along the bottom, and vertical gradients at each sampling site, exceeded </w:t>
      </w:r>
      <w:proofErr w:type="gramStart"/>
      <w:r>
        <w:t xml:space="preserve">100 </w:t>
      </w:r>
      <w:proofErr w:type="spellStart"/>
      <w:r w:rsidRPr="00DA6BEF">
        <w:t>μ</w:t>
      </w:r>
      <w:r>
        <w:t>mol</w:t>
      </w:r>
      <w:proofErr w:type="spellEnd"/>
      <w:proofErr w:type="gramEnd"/>
      <w:r>
        <w:t xml:space="preserve"> kg</w:t>
      </w:r>
      <w:r w:rsidRPr="00DA6BEF">
        <w:rPr>
          <w:vertAlign w:val="superscript"/>
        </w:rPr>
        <w:t>-1</w:t>
      </w:r>
      <w:r w:rsidRPr="00C660CE">
        <w:t xml:space="preserve"> </w:t>
      </w:r>
      <w:r>
        <w:t xml:space="preserve">at this time (Fig. 6a). Winter mixing from storms and the lack of kelp canopy reduced these differences, resulting in chemical gradients which approached 0 </w:t>
      </w:r>
      <w:proofErr w:type="spellStart"/>
      <w:r w:rsidRPr="00DA6BEF">
        <w:t>μ</w:t>
      </w:r>
      <w:r>
        <w:t>mol</w:t>
      </w:r>
      <w:proofErr w:type="spellEnd"/>
      <w:r>
        <w:t xml:space="preserve"> kg</w:t>
      </w:r>
      <w:r w:rsidRPr="00DA6BEF">
        <w:rPr>
          <w:vertAlign w:val="superscript"/>
        </w:rPr>
        <w:t>-1</w:t>
      </w:r>
      <w:r>
        <w:t xml:space="preserve">. TA spatial variability was much smaller and more variable (Fig. 6b). </w:t>
      </w:r>
      <w:proofErr w:type="gramStart"/>
      <w:r>
        <w:t>pH</w:t>
      </w:r>
      <w:proofErr w:type="gramEnd"/>
      <w:r>
        <w:t>, pCO</w:t>
      </w:r>
      <w:r>
        <w:softHyphen/>
      </w:r>
      <w:r w:rsidRPr="008646A2">
        <w:rPr>
          <w:vertAlign w:val="subscript"/>
        </w:rPr>
        <w:t>2</w:t>
      </w:r>
      <w:r>
        <w:t xml:space="preserve">, and </w:t>
      </w:r>
      <w:r w:rsidRPr="002468E8">
        <w:t>Ω</w:t>
      </w:r>
      <w:r w:rsidRPr="002468E8">
        <w:rPr>
          <w:vertAlign w:val="subscript"/>
        </w:rPr>
        <w:t>Ar</w:t>
      </w:r>
      <w:r>
        <w:t xml:space="preserve"> exhibited strong top to bottom differences as well. Vertical differences in pH and </w:t>
      </w:r>
      <w:r w:rsidRPr="002468E8">
        <w:t>Ω</w:t>
      </w:r>
      <w:r w:rsidRPr="002468E8">
        <w:rPr>
          <w:vertAlign w:val="subscript"/>
        </w:rPr>
        <w:t>Ar</w:t>
      </w:r>
      <w:r>
        <w:t xml:space="preserve"> reached up to 0.51 and 2.25 units, respectively.</w:t>
      </w:r>
    </w:p>
    <w:p w14:paraId="08B8D07C" w14:textId="00615823" w:rsidR="000C2974" w:rsidRDefault="000C2974" w:rsidP="000C2974">
      <w:r>
        <w:tab/>
        <w:t>Nearly all of the surface-to-bottom variability in pH, pCO</w:t>
      </w:r>
      <w:r w:rsidRPr="00A63F24">
        <w:rPr>
          <w:vertAlign w:val="subscript"/>
        </w:rPr>
        <w:t>2</w:t>
      </w:r>
      <w:r>
        <w:t xml:space="preserve"> and </w:t>
      </w:r>
      <w:r w:rsidRPr="002468E8">
        <w:t>Ω</w:t>
      </w:r>
      <w:r w:rsidRPr="002468E8">
        <w:rPr>
          <w:vertAlign w:val="subscript"/>
        </w:rPr>
        <w:t>Ar</w:t>
      </w:r>
      <w:r>
        <w:t xml:space="preserve"> can be attributed to vertical differences in DIC using Eq. </w:t>
      </w:r>
      <w:r w:rsidR="00005E12">
        <w:t>(</w:t>
      </w:r>
      <w:r>
        <w:t>2</w:t>
      </w:r>
      <w:r w:rsidR="00005E12">
        <w:t>)</w:t>
      </w:r>
      <w:r>
        <w:t>. The DIC contribution to the observed surface-to-bottom differences in pH, pCO</w:t>
      </w:r>
      <w:r w:rsidRPr="00A63F24">
        <w:rPr>
          <w:vertAlign w:val="subscript"/>
        </w:rPr>
        <w:t>2</w:t>
      </w:r>
      <w:r>
        <w:t xml:space="preserve"> and </w:t>
      </w:r>
      <w:r w:rsidRPr="002468E8">
        <w:t>Ω</w:t>
      </w:r>
      <w:r>
        <w:rPr>
          <w:vertAlign w:val="subscript"/>
        </w:rPr>
        <w:t>Ar</w:t>
      </w:r>
      <w:r>
        <w:t xml:space="preserve"> across the six sites ranged from 88-93%, 82-88%, and 92-97%, respectively (Fig. 7 and S4-6). These results are consistent with an ecosystem dominated by organic carbon metabolism (photosynthesis/respiration) as opposed to inorganic carbon metabolism (calcification/dissolution), an expected result in a kelp forest. We note that the carbon system budgets do not discriminate between local biogeochemical modification within the kelp forest and advection of offshore water. </w:t>
      </w:r>
    </w:p>
    <w:p w14:paraId="3522DA79" w14:textId="77777777" w:rsidR="000C2974" w:rsidRDefault="000C2974" w:rsidP="000C2974">
      <w:r>
        <w:tab/>
        <w:t>Cold, high DIC water observed at the bottom of the kelp forest was a major contributor to surface-to-bottom differences in DIC (Fig. 8). High DIC water reached the deeper sites (Protected Offshore, KFA, Exposed Offshore, Exposed Middle), but did not frequently penetrate into the shallower sites (Protected Middle and Protected Inside). Bottom DIC accounted for 55-67% (</w:t>
      </w:r>
      <w:proofErr w:type="spellStart"/>
      <w:r>
        <w:t>pearson</w:t>
      </w:r>
      <w:proofErr w:type="spellEnd"/>
      <w:r>
        <w:t xml:space="preserve"> correlation coefficients) of observed surface-to-bottom DIC gradients in the four deeper sites (Fig. 8b), but only accounted for 39% of the observed gradient at Protected Middle and 22% of the gradient at Protected Inside. Reduced stratification at the protected shallower sites reduced water column temperature and DIC gradients (Figs. 2b, 3, and 4). </w:t>
      </w:r>
    </w:p>
    <w:p w14:paraId="2CDF0A04" w14:textId="61C826B8" w:rsidR="000C2974" w:rsidRDefault="000C2974" w:rsidP="000C2974">
      <w:r>
        <w:tab/>
        <w:t>The vertical variability in CO</w:t>
      </w:r>
      <w:r w:rsidRPr="002E7DBE">
        <w:rPr>
          <w:vertAlign w:val="subscript"/>
        </w:rPr>
        <w:t>2</w:t>
      </w:r>
      <w:r>
        <w:t xml:space="preserve"> system chemistry drove large variations in the </w:t>
      </w:r>
      <w:proofErr w:type="spellStart"/>
      <w:r w:rsidR="00326E63">
        <w:t>Revelle</w:t>
      </w:r>
      <w:proofErr w:type="spellEnd"/>
      <w:r w:rsidR="00326E63">
        <w:t xml:space="preserve"> Factor</w:t>
      </w:r>
      <w:r>
        <w:t xml:space="preserve">. The </w:t>
      </w:r>
      <w:proofErr w:type="spellStart"/>
      <w:r>
        <w:t>Revelle</w:t>
      </w:r>
      <w:proofErr w:type="spellEnd"/>
      <w:r>
        <w:t xml:space="preserve"> Factor describes the non-linear buffering capacity of seawater </w:t>
      </w:r>
      <w:r w:rsidR="0021306A" w:rsidRPr="0042426C">
        <w:rPr>
          <w:position w:val="-10"/>
        </w:rPr>
        <w:object w:dxaOrig="2460" w:dyaOrig="320" w14:anchorId="427D7396">
          <v:shape id="_x0000_i1073" type="#_x0000_t75" style="width:123.35pt;height:16pt" o:ole="">
            <v:imagedata r:id="rId35" o:title=""/>
          </v:shape>
          <o:OLEObject Type="Embed" ProgID="Equation.DSMT4" ShapeID="_x0000_i1073" DrawAspect="Content" ObjectID="_1417271582" r:id="rId36"/>
        </w:object>
      </w:r>
      <w:r>
        <w:t xml:space="preserve">. Higher </w:t>
      </w:r>
      <w:r>
        <w:rPr>
          <w:i/>
        </w:rPr>
        <w:t>RFs</w:t>
      </w:r>
      <w:r>
        <w:t xml:space="preserve"> indicate reduced capacity to buffer against increasing CO</w:t>
      </w:r>
      <w:r w:rsidRPr="00BC53B4">
        <w:rPr>
          <w:vertAlign w:val="subscript"/>
        </w:rPr>
        <w:t>2</w:t>
      </w:r>
      <w:r>
        <w:t xml:space="preserve"> as ocean acidification progresses. </w:t>
      </w:r>
      <w:r>
        <w:rPr>
          <w:i/>
        </w:rPr>
        <w:t>RF</w:t>
      </w:r>
      <w:r>
        <w:t xml:space="preserve"> variability within the kelp forest ranged from ~9-18 </w:t>
      </w:r>
      <w:r>
        <w:lastRenderedPageBreak/>
        <w:t xml:space="preserve">over the annual cycle (Fig. S7), which nearly spans the range of global surface ocean values from offshore waters </w:t>
      </w:r>
      <w:r>
        <w:fldChar w:fldCharType="begin" w:fldLock="1"/>
      </w:r>
      <w:r>
        <w:instrText>ADDIN CSL_CITATION { "citationItems" : [ { "id" : "ITEM-1", "itemData" : { "DOI" : "10.1126/science.1097403", "ISSN" : "1095-9203", "PMID" : "15256665", "abstract" : "Using inorganic carbon measurements from an international survey effort in the 1990s and a tracer-based separation technique, we estimate a global oceanic anthropogenic carbon dioxide (CO2) sink for the period from 1800 to 1994 of 118 +/- 19 petagrams of carbon. The oceanic sink accounts for approximately 48% of the total fossil-fuel and cement-manufacturing emissions, implying that the terrestrial biosphere was a net source of CO2 to the atmosphere of about 39 +/- 28 petagrams of carbon for this period. The current fraction of total anthropogenic CO2 emissions stored in the ocean appears to be about one-third of the long-term potential.", "author" : [ { "dropping-particle" : "", "family" : "Sabine", "given" : "Christopher L.", "non-dropping-particle" : "", "parse-names" : false, "suffix" : "" }, { "dropping-particle" : "", "family" : "Feely", "given" : "Richard A.", "non-dropping-particle" : "", "parse-names" : false, "suffix" : "" }, { "dropping-particle" : "", "family" : "Gruber", "given" : "Nicolas", "non-dropping-particle" : "", "parse-names" : false, "suffix" : "" }, { "dropping-particle" : "", "family" : "Key", "given" : "Robert M.", "non-dropping-particle" : "", "parse-names" : false, "suffix" : "" }, { "dropping-particle" : "", "family" : "Lee", "given" : "K.", "non-dropping-particle" : "", "parse-names" : false, "suffix" : "" }, { "dropping-particle" : "", "family" : "Bullister", "given" : "John L", "non-dropping-particle" : "", "parse-names" : false, "suffix" : "" }, { "dropping-particle" : "", "family" : "Wanninkhof", "given" : "Rik", "non-dropping-particle" : "", "parse-names" : false, "suffix" : "" }, { "dropping-particle" : "", "family" : "Wong", "given" : "C S", "non-dropping-particle" : "", "parse-names" : false, "suffix" : "" }, { "dropping-particle" : "", "family" : "Wallace", "given" : "Douglas W R", "non-dropping-particle" : "", "parse-names" : false, "suffix" : "" }, { "dropping-particle" : "", "family" : "Tilbrook", "given" : "Bronte", "non-dropping-particle" : "", "parse-names" : false, "suffix" : "" }, { "dropping-particle" : "", "family" : "Millero", "given" : "Frank J.", "non-dropping-particle" : "", "parse-names" : false, "suffix" : "" }, { "dropping-particle" : "", "family" : "Peng", "given" : "T. H.", "non-dropping-particle" : "", "parse-names" : false, "suffix" : "" }, { "dropping-particle" : "", "family" : "Kozyr", "given" : "Alexander", "non-dropping-particle" : "", "parse-names" : false, "suffix" : "" }, { "dropping-particle" : "", "family" : "Ono", "given" : "Tsueno", "non-dropping-particle" : "", "parse-names" : false, "suffix" : "" }, { "dropping-particle" : "", "family" : "Rios", "given" : "Aida F", "non-dropping-particle" : "", "parse-names" : false, "suffix" : "" } ], "container-title" : "Science", "id" : "ITEM-1", "issue" : "5682", "issued" : { "date-parts" : [ [ "2004", "7", "16" ] ] }, "note" : "Sabine et al. 2004-Science-How much anthropogenic CO2 have the oceans taken up? Oceans currently taking up ~1/3 of anthropogenic CO2 \nSynthesis of WOCE/JGOFS DIC data to determine size of the oceanic sink for anthropogenic CO2 from 1800-1994. Estimates size of sink at 118\u00b119 Pg C. 23% of total anthropogenic C is in Atlantic. Southern Ocean only holds 9%. S. Hemisphere holds more CO2 b/c more ocean surface area and greater depths. Highest CO2 concentrations found in the surface ocean. Low Revelle factor=&amp;gt;high capacity to store anthropogenic CO2=&amp;gt;high CO2 concentrations in water. Vice-versa. Thinks about Revelle process for \u201creverse\u201d factor of CO2 inventory in the oceans. Anthropogenic CO2 penetration slowed by strong pycnoclines. High anthropogenic CO2 at outcropping areas-prime spots for invasion. AAIW and SAMW have an anthropogenic inventory of ~20 Pg C-high due to low previous anthropogenic content+high winds=&amp;gt;increased gas transfer efficieny. Only 7% of anthropogenic CO2 is below 1500m depth. Only spot with high anthropogenic CO2 at depth is N. Atlantic b/c of formation of NADW. Estimates of oceanic inventory of anthropogenic CO2 allow indirect estimates of terrestrial source of CO2 (39\u00b128 Pg C-large uncertainty). Ocean has been only true anthropogenic CO2 sink over the last 200 years. + chemical feedbacks expected over next several decades=&amp;gt;sig. changes\u00a0 in ocean\u2019s role as a sink for anthropogenic CO2 (possible changes discussed, but magnitude not predicted).", "page" : "367-71", "title" : "The oceanic sink for anthropogenic CO2.", "type" : "article-journal", "volume" : "305" }, "uris" : [ "http://www.mendeley.com/documents/?uuid=c6a840cf-51e6-42d7-b1b0-e2c998088839" ] } ], "mendeley" : { "formattedCitation" : "(Sabine et al., 2004)", "plainTextFormattedCitation" : "(Sabine et al., 2004)", "previouslyFormattedCitation" : "(Sabine et al., 2004)" }, "properties" : { "noteIndex" : 0 }, "schema" : "https://github.com/citation-style-language/schema/raw/master/csl-citation.json" }</w:instrText>
      </w:r>
      <w:r>
        <w:fldChar w:fldCharType="separate"/>
      </w:r>
      <w:r w:rsidRPr="000447F9">
        <w:rPr>
          <w:noProof/>
        </w:rPr>
        <w:t>(Sabine et al., 2004)</w:t>
      </w:r>
      <w:r>
        <w:fldChar w:fldCharType="end"/>
      </w:r>
      <w:r>
        <w:t xml:space="preserve">. Following other carbon system properties, the highest and most variable </w:t>
      </w:r>
      <w:r>
        <w:rPr>
          <w:i/>
        </w:rPr>
        <w:t>RFs</w:t>
      </w:r>
      <w:r>
        <w:t xml:space="preserve"> were observed in the bottom waters during spring and summer. Photosynthetic uptake in the surface during upwelling months lowered </w:t>
      </w:r>
      <w:r>
        <w:rPr>
          <w:i/>
        </w:rPr>
        <w:t>RFs</w:t>
      </w:r>
      <w:r>
        <w:t xml:space="preserve"> to between 10-12, with occasional values reaching below 10. Winter </w:t>
      </w:r>
      <w:r>
        <w:rPr>
          <w:i/>
        </w:rPr>
        <w:t>RFs</w:t>
      </w:r>
      <w:r>
        <w:t xml:space="preserve"> for surface and bottom water samples converged around 12-14.</w:t>
      </w:r>
    </w:p>
    <w:p w14:paraId="5669B455" w14:textId="35B50B53" w:rsidR="000C2974" w:rsidRPr="000C2974" w:rsidRDefault="000C2974" w:rsidP="000C2974">
      <w:pPr>
        <w:pStyle w:val="Heading2"/>
      </w:pPr>
      <w:r>
        <w:t>3.5 Spatial Variability</w:t>
      </w:r>
    </w:p>
    <w:p w14:paraId="3A46685B" w14:textId="265C4E28" w:rsidR="005D6F9F" w:rsidRDefault="000C2974" w:rsidP="00FA4A16">
      <w:r>
        <w:tab/>
        <w:t xml:space="preserve">Full-year histograms of </w:t>
      </w:r>
      <w:r w:rsidRPr="002468E8">
        <w:t>Ω</w:t>
      </w:r>
      <w:r>
        <w:rPr>
          <w:vertAlign w:val="subscript"/>
        </w:rPr>
        <w:t>Ar</w:t>
      </w:r>
      <w:r>
        <w:t xml:space="preserve"> in kelp forest bottom waters revealed significant differences (Wilcoxon rank sum test, </w:t>
      </w:r>
      <w:r w:rsidRPr="00B957E0">
        <w:t>α=0.05</w:t>
      </w:r>
      <w:r>
        <w:t xml:space="preserve">) between the sites generally according to site depth and orientation (Fig. 9). </w:t>
      </w:r>
      <w:r w:rsidR="00C074A3">
        <w:t xml:space="preserve">The Protected Middle and Protected Inside sites </w:t>
      </w:r>
      <w:r w:rsidR="00FD67D0">
        <w:t xml:space="preserve">had significantly higher </w:t>
      </w:r>
      <w:r w:rsidR="00FD67D0" w:rsidRPr="002468E8">
        <w:t>Ω</w:t>
      </w:r>
      <w:r w:rsidR="00FD67D0">
        <w:rPr>
          <w:vertAlign w:val="subscript"/>
        </w:rPr>
        <w:t>Ar</w:t>
      </w:r>
      <w:r w:rsidR="00FD67D0">
        <w:t xml:space="preserve"> than the </w:t>
      </w:r>
      <w:r w:rsidR="00750894">
        <w:t xml:space="preserve">other four sites </w:t>
      </w:r>
      <w:r w:rsidR="00C174BA">
        <w:t>(</w:t>
      </w:r>
      <w:r w:rsidR="00FD67D0">
        <w:t>except in the pairwise test between Protected Middle and Exposed Middle</w:t>
      </w:r>
      <w:r w:rsidR="00C174BA">
        <w:t>),</w:t>
      </w:r>
      <w:r w:rsidR="00FD67D0">
        <w:t xml:space="preserve"> which further highlights the clustering of the Protected Middle and Protected Inside sites relative to the other sites</w:t>
      </w:r>
      <w:r w:rsidR="00D8069D">
        <w:t xml:space="preserve"> (Fig. 9)</w:t>
      </w:r>
      <w:r w:rsidR="00FD67D0">
        <w:t xml:space="preserve">. </w:t>
      </w:r>
      <w:r>
        <w:t xml:space="preserve">There were no site-to-site significant differences in surface </w:t>
      </w:r>
      <w:r w:rsidRPr="002468E8">
        <w:t>Ω</w:t>
      </w:r>
      <w:r>
        <w:rPr>
          <w:vertAlign w:val="subscript"/>
        </w:rPr>
        <w:t>Ar</w:t>
      </w:r>
      <w:r>
        <w:t xml:space="preserve"> values, indicating greater homogeneity at the surface. Not only were there significant differences in bottom water </w:t>
      </w:r>
      <w:r w:rsidR="00D8069D" w:rsidRPr="002468E8">
        <w:t>Ω</w:t>
      </w:r>
      <w:r w:rsidR="00D8069D">
        <w:rPr>
          <w:vertAlign w:val="subscript"/>
        </w:rPr>
        <w:t>Ar</w:t>
      </w:r>
      <w:r>
        <w:t xml:space="preserve">, but the bottom waters were spatially decoupled as well. </w:t>
      </w:r>
      <w:r w:rsidRPr="00AF57C8">
        <w:t>Throughout the year, bottom Ω</w:t>
      </w:r>
      <w:r w:rsidRPr="00AF57C8">
        <w:rPr>
          <w:vertAlign w:val="subscript"/>
        </w:rPr>
        <w:t>Ar</w:t>
      </w:r>
      <w:r w:rsidRPr="00AF57C8">
        <w:t xml:space="preserve"> </w:t>
      </w:r>
      <w:r w:rsidR="00FA4A16">
        <w:t xml:space="preserve">measurements </w:t>
      </w:r>
      <w:r w:rsidRPr="00AF57C8">
        <w:t xml:space="preserve">from </w:t>
      </w:r>
      <w:r w:rsidR="00FA4A16">
        <w:t>Protected Inside and Protected Middle</w:t>
      </w:r>
      <w:r>
        <w:t xml:space="preserve"> </w:t>
      </w:r>
      <w:r w:rsidR="00FA4A16">
        <w:t xml:space="preserve">were </w:t>
      </w:r>
      <w:r>
        <w:t xml:space="preserve">far less correlated with </w:t>
      </w:r>
      <w:r w:rsidR="00FA4A16">
        <w:t xml:space="preserve">measurements from </w:t>
      </w:r>
      <w:r>
        <w:t>the deeper</w:t>
      </w:r>
      <w:r w:rsidRPr="00AF57C8">
        <w:t xml:space="preserve"> </w:t>
      </w:r>
      <w:r>
        <w:t>and exposed</w:t>
      </w:r>
      <w:r w:rsidRPr="00AF57C8">
        <w:t xml:space="preserve"> sites</w:t>
      </w:r>
      <w:r w:rsidR="00FA4A16">
        <w:t xml:space="preserve">, as compared to the correlations among the deeper, more exposed sites (Fig. 10). In contrast, the surface </w:t>
      </w:r>
      <w:r w:rsidR="00FA4A16" w:rsidRPr="002468E8">
        <w:t>Ω</w:t>
      </w:r>
      <w:r w:rsidR="00FA4A16">
        <w:rPr>
          <w:vertAlign w:val="subscript"/>
        </w:rPr>
        <w:t>Ar</w:t>
      </w:r>
      <w:r w:rsidR="00FA4A16">
        <w:t xml:space="preserve"> was highly correlated between all six sites (Fig. 10). The bottom water decoupling and surface water coupling </w:t>
      </w:r>
      <w:r>
        <w:t>w</w:t>
      </w:r>
      <w:r w:rsidR="001E0C95">
        <w:t>ere</w:t>
      </w:r>
      <w:r>
        <w:t xml:space="preserve"> largely maintained during periods of both strong and weak upwelling (Fig. S8).</w:t>
      </w:r>
    </w:p>
    <w:p w14:paraId="7EA15985" w14:textId="77777777" w:rsidR="005D6F9F" w:rsidRDefault="005D6F9F" w:rsidP="005D6F9F">
      <w:pPr>
        <w:pStyle w:val="Heading1"/>
      </w:pPr>
      <w:r>
        <w:t>4. Discussion</w:t>
      </w:r>
    </w:p>
    <w:p w14:paraId="2F8DE004" w14:textId="416093DE" w:rsidR="005D6F9F" w:rsidRDefault="005D6F9F" w:rsidP="005D6F9F">
      <w:r w:rsidRPr="0086573A">
        <w:tab/>
      </w:r>
      <w:r>
        <w:t>This study demonstrates strong spatial and temporal variability in CO</w:t>
      </w:r>
      <w:r w:rsidRPr="0086573A">
        <w:rPr>
          <w:vertAlign w:val="subscript"/>
        </w:rPr>
        <w:t>2</w:t>
      </w:r>
      <w:r>
        <w:t xml:space="preserve"> system chemistry within a central California kelp forest using nearly 800 DIC and TA observations that ranged across six sites, multiple depths, and spanning a period of 14 months. This data set represents one of the largest multi-parameter CO</w:t>
      </w:r>
      <w:r w:rsidRPr="00B13819">
        <w:rPr>
          <w:vertAlign w:val="subscript"/>
        </w:rPr>
        <w:t>2</w:t>
      </w:r>
      <w:r>
        <w:rPr>
          <w:vertAlign w:val="subscript"/>
        </w:rPr>
        <w:softHyphen/>
      </w:r>
      <w:r>
        <w:t xml:space="preserve"> system data sets completed in a kelp forest</w:t>
      </w:r>
      <w:r w:rsidR="00FD67D0">
        <w:t>.</w:t>
      </w:r>
      <w:r>
        <w:t xml:space="preserve"> </w:t>
      </w:r>
      <w:r w:rsidR="00D9418D">
        <w:t>Our spatially expansive sampling captured larger</w:t>
      </w:r>
      <w:r w:rsidR="00534451">
        <w:t xml:space="preserve"> pH</w:t>
      </w:r>
      <w:r w:rsidR="00D9418D">
        <w:t xml:space="preserve"> ranges than in many of the southern California pH studies. </w:t>
      </w:r>
      <w:r w:rsidR="00C11B45">
        <w:t xml:space="preserve">Our calculated range in pH of 7.7-8.33 was larger than the range observed </w:t>
      </w:r>
      <w:r w:rsidR="006C608D">
        <w:t xml:space="preserve">in kelp forests </w:t>
      </w:r>
      <w:r w:rsidR="00C11B45">
        <w:t xml:space="preserve">from single </w:t>
      </w:r>
      <w:r w:rsidR="006C608D">
        <w:t xml:space="preserve">pH </w:t>
      </w:r>
      <w:r w:rsidR="00C11B45">
        <w:t>sensors in</w:t>
      </w:r>
      <w:r w:rsidR="006C608D">
        <w:t xml:space="preserve"> the Channel Islands</w:t>
      </w:r>
      <w:r w:rsidR="00C11B45">
        <w:t xml:space="preserve"> </w:t>
      </w:r>
      <w:r w:rsidR="00D9418D">
        <w:fldChar w:fldCharType="begin" w:fldLock="1"/>
      </w:r>
      <w:r w:rsidR="00D9418D">
        <w:instrText>ADDIN CSL_CITATION { "citationItems" : [ { "id" : "ITEM-1", "itemData" : { "DOI" : "10.1002/lno.10264", "ISSN" : "00243590", "author" : [ { "dropping-particle" : "", "family" : "Kapsenberg", "given" : "Lydia", "non-dropping-particle" : "", "parse-names" : false, "suffix" : "" }, { "dropping-particle" : "", "family" : "Hofmann", "given" : "Gretchen E.", "non-dropping-particle" : "", "parse-names" : false, "suffix" : "" } ], "container-title" : "Limnology and Oceanography", "id" : "ITEM-1", "issued" : { "date-parts" : [ [ "2016" ] ] }, "note" : "SeapHOx time series data from the SBC LTER. Sites across the channel islands - range &amp;gt;50 km between some sites. Sensors deployed across three SBC islands-Anacapa (kelp forest), Santa Cruz (eelgrass), and San Miguel (sandy bottom) (spanning gradient from east to west). Anacapa and Santa Cruz sensors deployed in 3-4 m depth (~1 mab). San Miguel sensor deployed in ~6 m depth (12 meters above sandy bottom). Lots of interannual variability in pH and T, especially at the more sheltered sites (Anacapa and Santa Cruz). Most pronounced diel pH cycle above the eelgrass (Santa Cruz) as compared to the kelp forest (Anacapa) and the open sandy bottom (San Miguel). Phytoplankton blooms capable of increasing pH by 0.1-0.2 units at all island sites.", "page" : "n/a-n/a", "title" : "Ocean pH time-series and drivers of variability along the northern Channel Islands, California, USA", "type" : "article-journal" }, "uris" : [ "http://www.mendeley.com/documents/?uuid=43913252-9ea3-46fe-b8e0-3c5ca1dd246f" ] } ], "mendeley" : { "formattedCitation" : "(Kapsenberg and Hofmann, 2016)", "plainTextFormattedCitation" : "(Kapsenberg and Hofmann, 2016)", "previouslyFormattedCitation" : "(Kapsenberg and Hofmann, 2016)" }, "properties" : { "noteIndex" : 0 }, "schema" : "https://github.com/citation-style-language/schema/raw/master/csl-citation.json" }</w:instrText>
      </w:r>
      <w:r w:rsidR="00D9418D">
        <w:fldChar w:fldCharType="separate"/>
      </w:r>
      <w:r w:rsidR="00D9418D" w:rsidRPr="00D9418D">
        <w:rPr>
          <w:noProof/>
        </w:rPr>
        <w:t>(Kapsenberg and Hofmann, 2016</w:t>
      </w:r>
      <w:r w:rsidR="006C608D">
        <w:rPr>
          <w:noProof/>
        </w:rPr>
        <w:t>; 7.88-8.12</w:t>
      </w:r>
      <w:r w:rsidR="00D9418D" w:rsidRPr="00D9418D">
        <w:rPr>
          <w:noProof/>
        </w:rPr>
        <w:t>)</w:t>
      </w:r>
      <w:r w:rsidR="00D9418D">
        <w:fldChar w:fldCharType="end"/>
      </w:r>
      <w:r w:rsidR="00D9418D">
        <w:t xml:space="preserve">, </w:t>
      </w:r>
      <w:r w:rsidR="006C608D">
        <w:t xml:space="preserve">the La Jolla kelp forest </w:t>
      </w:r>
      <w:r w:rsidR="00D9418D">
        <w:fldChar w:fldCharType="begin" w:fldLock="1"/>
      </w:r>
      <w:r w:rsidR="00C11B45">
        <w:instrText>ADDIN CSL_CITATION { "citationItems" : [ { "id" : "ITEM-1", "itemData" : { "DOI" : "10.5194/bg-12-5853-2015", "author" : [ { "dropping-particle" : "", "family" : "Takeshita", "given" : "Y", "non-dropping-particle" : "", "parse-names" : false, "suffix" : "" }, { "dropping-particle" : "", "family" : "Frieder", "given" : "C A", "non-dropping-particle" : "", "parse-names" : false, "suffix" : "" }, { "dropping-particle" : "", "family" : "Martz", "given" : "T R", "non-dropping-particle" : "", "parse-names" : false, "suffix" : "" }, { "dropping-particle" : "", "family" : "Ballard", "given" : "J R", "non-dropping-particle" : "", "parse-names" : false, "suffix" : "" }, { "dropping-particle" : "", "family" : "Feely", "given" : "R A", "non-dropping-particle" : "", "parse-names" : false, "suffix" : "" }, { "dropping-particle" : "", "family" : "Kram", "given" : "S", "non-dropping-particle" : "", "parse-names" : false, "suffix" : "" }, { "dropping-particle" : "", "family" : "Nam", "given" : "S", "non-dropping-particle" : "", "parse-names" : false, "suffix" : "" }, { "dropping-particle" : "", "family" : "Navarro", "given" : "M O", "non-dropping-particle" : "", "parse-names" : false, "suffix" : "" }, { "dropping-particle" : "", "family" : "Price", "given" : "Nichole N.", "non-dropping-particle" : "", "parse-names" : false, "suffix" : "" }, { "dropping-particle" : "", "family" : "Smith", "given" : "Jennifer E.", "non-dropping-particle" : "", "parse-names" : false, "suffix" : "" } ], "container-title" : "Biogeosciences", "id" : "ITEM-1", "issued" : { "date-parts" : [ [ "2015" ] ] }, "note" : "Takeshita et al. 2015- Biogeosciences-CO2 system variaibility in Southern CA Bight using sensor data and model projections\nAcidification of CCS expected to be greater b/c of reducing buffering capacity at higher CO2 levels. ROMS models good for resolving processes along the CA coast, but 5km grid resolution is not enough to capture habitat-level CO2 chemistry (and hence sensitivity to OA). Can turn to autonomous sensors to understand habitat-level CO2 variability and OA. Study combines autonomous sensor data, empiricial CO2 system relationships, hydrographic data, and atmospheric CO2 forcing to model habitat specific CO2 signatures and trajectories.", "page" : "5853-5870", "title" : "Including high-frequency variability in coastal ocean acidification projections", "type" : "article-journal", "volume" : "12" }, "uris" : [ "http://www.mendeley.com/documents/?uuid=8fd9de92-b044-411a-8aa7-866a1ca34ad0" ] } ], "mendeley" : { "formattedCitation" : "(Takeshita et al., 2015)", "plainTextFormattedCitation" : "(Takeshita et al., 2015)", "previouslyFormattedCitation" : "(Takeshita et al., 2015)" }, "properties" : { "noteIndex" : 0 }, "schema" : "https://github.com/citation-style-language/schema/raw/master/csl-citation.json" }</w:instrText>
      </w:r>
      <w:r w:rsidR="00D9418D">
        <w:fldChar w:fldCharType="separate"/>
      </w:r>
      <w:r w:rsidR="00D9418D" w:rsidRPr="00D9418D">
        <w:rPr>
          <w:noProof/>
        </w:rPr>
        <w:t>(Takeshita et al., 2015</w:t>
      </w:r>
      <w:r w:rsidR="006C608D">
        <w:rPr>
          <w:noProof/>
        </w:rPr>
        <w:t>; ~7.78-8.12</w:t>
      </w:r>
      <w:r w:rsidR="00D9418D" w:rsidRPr="00D9418D">
        <w:rPr>
          <w:noProof/>
        </w:rPr>
        <w:t>)</w:t>
      </w:r>
      <w:r w:rsidR="00D9418D">
        <w:fldChar w:fldCharType="end"/>
      </w:r>
      <w:r w:rsidR="00C11B45">
        <w:t xml:space="preserve">, </w:t>
      </w:r>
      <w:r w:rsidR="006C608D">
        <w:t xml:space="preserve">and the Santa Barbara Channel </w:t>
      </w:r>
      <w:r w:rsidR="00C11B45">
        <w:fldChar w:fldCharType="begin" w:fldLock="1"/>
      </w:r>
      <w:r w:rsidR="00C11B45">
        <w:instrText>ADDIN CSL_CITATION { "citationItems" : [ { "id" : "ITEM-1", "itemData" : { "DOI" : "10.1371/journal.pone.0028983", "ISSN" : "1932-6203", "PMID" : "22205986", "abstract" : "The effect of Ocean Acidification (OA) on marine biota is quasi-predictable at best. While perturbation studies, in the form of incubations under elevated pCO(2), reveal sensitivities and responses of individual species, one missing link in the OA story results from a chronic lack of pH data specific to a given species' natural habitat. Here, we present a compilation of continuous, high-resolution time series of upper ocean pH, collected using autonomous sensors, over a variety of ecosystems ranging from polar to tropical, open-ocean to coastal, kelp forest to coral reef. These observations reveal a continuum of month-long pH variability with standard deviations from 0.004 to 0.277 and ranges spanning 0.024 to 1.430 pH units. The nature of the observed variability was also highly site-dependent, with characteristic diel, semi-diurnal, and stochastic patterns of varying amplitudes. These biome-specific pH signatures disclose current levels of exposure to both high and low dissolved CO(2), often demonstrating that resident organisms are already experiencing pH regimes that are not predicted until 2100. Our data provide a first step toward crystallizing the biophysical link between environmental history of pH exposure and physiological resilience of marine organisms to fluctuations in seawater CO(2). Knowledge of this spatial and temporal variation in seawater chemistry allows us to improve the design of OA experiments: we can test organisms with a priori expectations of their tolerance guardrails, based on their natural range of exposure. Such hypothesis-testing will provide a deeper understanding of the effects of OA. Both intuitively simple to understand and powerfully informative, these and similar comparative time series can help guide management efforts to identify areas of marine habitat that can serve as refugia to acidification as well as areas that are particularly vulnerable to future ocean change.", "author" : [ { "dropping-particle" : "", "family" : "Hofmann", "given" : "Gretchen E.", "non-dropping-particle" : "", "parse-names" : false, "suffix" : "" }, { "dropping-particle" : "", "family" : "Smith", "given" : "Jennifer E.", "non-dropping-particle" : "", "parse-names" : false, "suffix" : "" }, { "dropping-particle" : "", "family" : "Johnson", "given" : "Kenneth S.", "non-dropping-particle" : "", "parse-names" : false, "suffix" : "" }, { "dropping-particle" : "", "family" : "Send", "given" : "Uwe", "non-dropping-particle" : "", "parse-names" : false, "suffix" : "" }, { "dropping-particle" : "", "family" : "Levin", "given" : "L. A.", "non-dropping-particle" : "", "parse-names" : false, "suffix" : "" }, { "dropping-particle" : "", "family" : "Micheli", "given" : "Fiorenza", "non-dropping-particle" : "", "parse-names" : false, "suffix" : "" }, { "dropping-particle" : "", "family" : "Paytan", "given" : "Adina", "non-dropping-particle" : "", "parse-names" : false, "suffix" : "" }, { "dropping-particle" : "", "family" : "Price", "given" : "Nichole N.", "non-dropping-particle" : "", "parse-names" : false, "suffix" : "" }, { "dropping-particle" : "", "family" : "Peterson", "given" : "Brittany", "non-dropping-particle" : "", "parse-names" : false, "suffix" : "" }, { "dropping-particle" : "", "family" : "Takeshita", "given" : "Yuichiro", "non-dropping-particle" : "", "parse-names" : false, "suffix" : "" }, { "dropping-particle" : "", "family" : "Matson", "given" : "Paul G", "non-dropping-particle" : "", "parse-names" : false, "suffix" : "" }, { "dropping-particle" : "", "family" : "Crook", "given" : "Elizabeth D", "non-dropping-particle" : "", "parse-names" : false, "suffix" : "" }, { "dropping-particle" : "", "family" : "Kroeker", "given" : "Kristy J.", "non-dropping-particle" : "", "parse-names" : false, "suffix" : "" }, { "dropping-particle" : "", "family" : "Gambi", "given" : "Maria Cristina", "non-dropping-particle" : "", "parse-names" : false, "suffix" : "" }, { "dropping-particle" : "", "family" : "Rivest", "given" : "Emily B", "non-dropping-particle" : "", "parse-names" : false, "suffix" : "" }, { "dropping-particle" : "", "family" : "Frieder", "given" : "C. A.", "non-dropping-particle" : "", "parse-names" : false, "suffix" : "" }, { "dropping-particle" : "", "family" : "Yu", "given" : "Pauline C", "non-dropping-particle" : "", "parse-names" : false, "suffix" : "" }, { "dropping-particle" : "", "family" : "Martz", "given" : "Todd R", "non-dropping-particle" : "", "parse-names" : false, "suffix" : "" } ], "container-title" : "PloS one", "id" : "ITEM-1", "issue" : "12", "issued" : { "date-parts" : [ [ "2011", "1" ] ] }, "page" : "1-11", "title" : "High-frequency dynamics of ocean pH: a multi-ecosystem comparison.", "type" : "article-journal", "volume" : "6" }, "uris" : [ "http://www.mendeley.com/documents/?uuid=e429b4fa-ffe9-439f-8e94-499f0c53acdb" ] } ], "mendeley" : { "formattedCitation" : "(Hofmann et al., 2011)", "plainTextFormattedCitation" : "(Hofmann et al., 2011)", "previouslyFormattedCitation" : "(Hofmann et al., 2011)" }, "properties" : { "noteIndex" : 0 }, "schema" : "https://github.com/citation-style-language/schema/raw/master/csl-citation.json" }</w:instrText>
      </w:r>
      <w:r w:rsidR="00C11B45">
        <w:fldChar w:fldCharType="separate"/>
      </w:r>
      <w:r w:rsidR="00C11B45" w:rsidRPr="00C11B45">
        <w:rPr>
          <w:noProof/>
        </w:rPr>
        <w:t>(Hofmann et al., 2011</w:t>
      </w:r>
      <w:r w:rsidR="006C608D">
        <w:rPr>
          <w:noProof/>
        </w:rPr>
        <w:t>; ~7.7-8.25</w:t>
      </w:r>
      <w:r w:rsidR="00C11B45" w:rsidRPr="00C11B45">
        <w:rPr>
          <w:noProof/>
        </w:rPr>
        <w:t>)</w:t>
      </w:r>
      <w:r w:rsidR="00C11B45">
        <w:fldChar w:fldCharType="end"/>
      </w:r>
      <w:r w:rsidR="006C608D">
        <w:t xml:space="preserve">. Our pH range was </w:t>
      </w:r>
      <w:r w:rsidR="00534451">
        <w:t xml:space="preserve">slightly smaller than the range of ~7.65-8.39 observed by </w:t>
      </w:r>
      <w:r w:rsidR="00C11B45">
        <w:fldChar w:fldCharType="begin" w:fldLock="1"/>
      </w:r>
      <w:r w:rsidR="00C11B45">
        <w:instrText>ADDIN CSL_CITATION { "citationItems" : [ { "id" : "ITEM-1", "itemData" : { "DOI" : "10.5194/bg-9-3917-2012", "ISSN" : "1726-4189", "author" : [ { "dropping-particle" : "", "family" : "Frieder", "given" : "C. A.", "non-dropping-particle" : "", "parse-names" : false, "suffix" : "" }, { "dropping-particle" : "", "family" : "Nam", "given" : "S. H.", "non-dropping-particle" : "", "parse-names" : false, "suffix" : "" }, { "dropping-particle" : "", "family" : "Martz", "given" : "Todd R", "non-dropping-particle" : "", "parse-names" : false, "suffix" : "" }, { "dropping-particle" : "", "family" : "Levin", "given" : "L. A.", "non-dropping-particle" : "", "parse-names" : false, "suffix" : "" } ], "container-title" : "Biogeosciences", "id" : "ITEM-1", "issue" : "10", "issued" : { "date-parts" : [ [ "2012", "10", "12" ] ] }, "note" : "Frieder et al. 2012-Biogeosciences-Year long records of DO and pH from a southern California nearshore kelp forest \u00a0\u00a0\u00a0\u00a0\u00a0\u00a0\u00a0\u00a0\u00a0\u00a0\u00a0 \nWhat are the spatial and temporal dynamics of DO and pH in the Southern California Bight (SCB) kelp forest ecosystems? Multiple SeapHOx\u2019s deployed to measure depth, alongshore, and cross-shore pH and O2 variability. Depth variability: one seapHOx at 7m and one at 17m depth (me: is this too deep to catch most of the canopy effects?). Two most dominant modes of periodic variability: diurnal and semidiurnal. Semidiurnal variability in pH and O2 mostly physically forced (close correlation with temperature). Diurnal variability less physically forced (changes in pH and O2 decoupled from temperature=&amp;gt;more signature of metabolic activity). Event scale variability also observed (one-day to multiple weeks)-can drive increases or decreases in pH and O2. pH daily range ~0.1-0.2 units. ~0.2 unit decrease in pH from 7m depth to 17m depth. Near-surface (7m) measurements more variable than those at depth (17m) for\u00a0 DO, pH, and T. Greatest changes in event-scale DO due to changes in alongshore current from south heading to north heading. Small alongshore differences in pH and DO, strong differences in cross shore direction at 7m depth. Positive correlation between pH and O2 at both 7m and 17m, but correlation is stronger at 17m depth. Estimate pCO2 and omega using pH data and TA estimates-only have a few samples-using max and min values from those samples to calculate C system variables. Bottom water pCO2 approaching 1000 ppm, Omega_Ar approaching, but not going lower, than 1. Study highlights the importance of alongshore currents for DO and pH variability.", "page" : "3917-3930", "title" : "High temporal and spatial variability of dissolved oxygen and pH in a nearshore California kelp forest", "type" : "article-journal", "volume" : "9" }, "uris" : [ "http://www.mendeley.com/documents/?uuid=7717eef2-6302-4c4b-ab46-492a8a93e19d" ] } ], "mendeley" : { "formattedCitation" : "(Frieder et al., 2012)", "plainTextFormattedCitation" : "(Frieder et al., 2012)" }, "properties" : { "noteIndex" : 0 }, "schema" : "https://github.com/citation-style-language/schema/raw/master/csl-citation.json" }</w:instrText>
      </w:r>
      <w:r w:rsidR="00C11B45">
        <w:fldChar w:fldCharType="separate"/>
      </w:r>
      <w:r w:rsidR="00C11B45" w:rsidRPr="00C11B45">
        <w:rPr>
          <w:noProof/>
        </w:rPr>
        <w:t xml:space="preserve">Frieder et al. </w:t>
      </w:r>
      <w:r w:rsidR="006C608D">
        <w:rPr>
          <w:noProof/>
        </w:rPr>
        <w:t>(</w:t>
      </w:r>
      <w:r w:rsidR="00C11B45" w:rsidRPr="00C11B45">
        <w:rPr>
          <w:noProof/>
        </w:rPr>
        <w:t>2012)</w:t>
      </w:r>
      <w:r w:rsidR="00C11B45">
        <w:fldChar w:fldCharType="end"/>
      </w:r>
      <w:r w:rsidR="00534451">
        <w:t xml:space="preserve"> in the La Jolla kelp forest </w:t>
      </w:r>
      <w:r w:rsidR="00534451">
        <w:rPr>
          <w:noProof/>
        </w:rPr>
        <w:t>using a network of pH sensors, although the high temporal resolution of the sensors captured event-scale variability that would likely be missed by</w:t>
      </w:r>
      <w:r w:rsidR="00710A57">
        <w:rPr>
          <w:noProof/>
        </w:rPr>
        <w:t xml:space="preserve"> the</w:t>
      </w:r>
      <w:r w:rsidR="00534451">
        <w:rPr>
          <w:noProof/>
        </w:rPr>
        <w:t xml:space="preserve"> weekly sampling alone</w:t>
      </w:r>
      <w:r w:rsidR="00710A57">
        <w:rPr>
          <w:noProof/>
        </w:rPr>
        <w:t xml:space="preserve"> in our study</w:t>
      </w:r>
      <w:r w:rsidR="00534451">
        <w:rPr>
          <w:noProof/>
        </w:rPr>
        <w:t>.</w:t>
      </w:r>
      <w:r w:rsidR="00534451">
        <w:t xml:space="preserve"> </w:t>
      </w:r>
      <w:r>
        <w:t xml:space="preserve">We now consider the physical and biological drivers of </w:t>
      </w:r>
      <w:r w:rsidR="00534451">
        <w:t xml:space="preserve">our </w:t>
      </w:r>
      <w:r>
        <w:t xml:space="preserve">observed variability and the implications of </w:t>
      </w:r>
      <w:r w:rsidR="00534451">
        <w:t xml:space="preserve">our </w:t>
      </w:r>
      <w:r>
        <w:t xml:space="preserve">work for understanding kelp forests in an era of global change.  </w:t>
      </w:r>
    </w:p>
    <w:p w14:paraId="019DFAE3" w14:textId="48294241" w:rsidR="005D6F9F" w:rsidRDefault="005D6F9F" w:rsidP="005D6F9F">
      <w:pPr>
        <w:pStyle w:val="Heading2"/>
      </w:pPr>
      <w:r>
        <w:t>4.1 Mechanisms of observed variability</w:t>
      </w:r>
    </w:p>
    <w:p w14:paraId="1D3AC2AF" w14:textId="7AFE31D8" w:rsidR="005D6F9F" w:rsidRPr="00283204" w:rsidRDefault="005D6F9F" w:rsidP="005D6F9F">
      <w:pPr>
        <w:rPr>
          <w:b/>
          <w:i/>
        </w:rPr>
      </w:pPr>
      <w:r>
        <w:tab/>
        <w:t xml:space="preserve">Co-variation of water column structure and kelp canopy biomass provided evidence for the strong influence of regional scale upwelling processes on the seasonal cycle of the kelp canopy (Fig. 2a). Bottom water advection during </w:t>
      </w:r>
      <w:r>
        <w:lastRenderedPageBreak/>
        <w:t xml:space="preserve">upwelling season introduces nutrients into the kelp forest, resulting in increased kelp growth and canopy biomass </w:t>
      </w:r>
      <w:r>
        <w:fldChar w:fldCharType="begin" w:fldLock="1"/>
      </w:r>
      <w:r>
        <w:instrText>ADDIN CSL_CITATION { "citationItems" : [ { "id" : "ITEM-1", "itemData" : { "author" : [ { "dropping-particle" : "", "family" : "Jackson", "given" : "George A", "non-dropping-particle" : "", "parse-names" : false, "suffix" : "" } ], "container-title" : "Limnology and Oceanography", "id" : "ITEM-1", "issue" : "6", "issued" : { "date-parts" : [ [ "1977" ] ] }, "note" : "Jackson 1977-L&amp;amp;O-Nutrients in a southern CA kelp forest \u00a0\u00a0\u00a0\u00a0\u00a0\u00a0\u00a0\u00a0\u00a0\u00a0\u00a0 \nStudy focused on Pt. Loma kelp forest in San Diego (8km latitude x 1km longitude). Kelp forest can become N-limited. Max P values recorded at 0.8 uM, max NO3- at 4.5uM on 27 May 1975. \u00a0Variations in the height of the thermocline attributed to internal waves. Using Si as a tracer for phytoplankton vs. M. pyrifera uptake (kelp can\u2019t uptake Si). Pt Loma nutrient distributions somewhat influenced by San Diego sewer outfall. Oxyen:N uptake ratios provided for nitrate and ammonium. Lots of delta O2: delta N plots-good for thinking about nutrient stoichiometry. Nitrogen uptake higher during periods of higher nitrate concentrations. Nutrient delivery to plants determined not only by ambient nutrient concentrations, but also by mixing dynamics (i.e. boundary layer thickness).", "page" : "979-995", "title" : "Nutrients and production of giant kelp, Macrocystis pyrifera, off southern California", "type" : "article-journal", "volume" : "22" }, "uris" : [ "http://www.mendeley.com/documents/?uuid=99709133-ca30-48ca-b9f8-21cff639d4d6" ] } ], "mendeley" : { "formattedCitation" : "(Jackson, 1977)", "plainTextFormattedCitation" : "(Jackson, 1977)", "previouslyFormattedCitation" : "(Jackson, 1977)" }, "properties" : { "noteIndex" : 0 }, "schema" : "https://github.com/citation-style-language/schema/raw/master/csl-citation.json" }</w:instrText>
      </w:r>
      <w:r>
        <w:fldChar w:fldCharType="separate"/>
      </w:r>
      <w:r w:rsidRPr="000447F9">
        <w:rPr>
          <w:noProof/>
        </w:rPr>
        <w:t>(Jackson, 1977)</w:t>
      </w:r>
      <w:r>
        <w:fldChar w:fldCharType="end"/>
      </w:r>
      <w:r>
        <w:t xml:space="preserve">. Unlike in southern California, where upwelling and canopy biomass are not tightly coupled, central California features very strong coupling between upwelling and kelp growth </w:t>
      </w:r>
      <w:r>
        <w:fldChar w:fldCharType="begin" w:fldLock="1"/>
      </w:r>
      <w:r>
        <w:instrText>ADDIN CSL_CITATION { "citationItems" : [ { "id" : "ITEM-1", "itemData" : { "DOI" : "10.1016/j.rse.2015.05.003", "ISBN" : "0034-4257", "ISSN" : "00344257", "abstract" : "This study examines the potential of the Hyperspectral Infrared Imager (HyspIRI) mission for monitoring the biomass and physiological condition of giant kelp forests on local to global scales. Giant kelp is a highly dynamic foundation species that supports an ecologically and economically important ecosystem found throughout the globe. Satellite, airborne, and field data are used to evaluate the suitability of HyspIRI's spatial, temporal, and spectral coverage for capturing variability in giant kelp biomass and physiological state. We analyze a 28-year time series of giant kelp biomass derived from Landsat satellite imagery in order to identify the dominant temporal modes of variability in giant kelp biomass using the California coast as a model region likely to be relevant to other regions of the globe. Temporal variability in California kelp canopy biomass is compared to the expected availability of cloud-free HyspIRI Visible Shortwave Infrared (VSWIR) views for regions of the world that contain giant kelp populations. Spectral variability is explored by assessing how changes in the physiological condition of giant kelp canopy are exhibited in the reflectance and transmittance of kelp fronds. We compare chlorophyll a to carbon ratios (Chl:C) of kelp fronds collected off the coast of California to laboratory and airborne measurements of hyperspectral reflectance in order to develop metrics of kelp physiological condition. The seasonal cycle dominates giant kelp canopy biomass temporal variability. However, the strength and timing of this cycle varies in both space and time. Our projections of cloud-free HyspIRI coverage indicate that the sensor will be able to capture at least 1 cloud free view each season for nearly all of the global giant kelp habitats, thereby illustrating that HyspIRI will resolve the dominant seasonal cycles in giant kelp biomass. A novel spectral index developed here from field observations explained 76% of the variance in Chl:C and was applied to hyperspectral aircraft observations. These results demonstrate that the spatial, temporal, and spectral coverage provided by HyspIRI has the potential to provide new insights into the ecology and biophysiology of giant kelp.", "author" : [ { "dropping-particle" : "", "family" : "Bell", "given" : "Tom W.", "non-dropping-particle" : "", "parse-names" : false, "suffix" : "" }, { "dropping-particle" : "", "family" : "Cavanaugh", "given" : "Kyle C.", "non-dropping-particle" : "", "parse-names" : false, "suffix" : "" }, { "dropping-particle" : "", "family" : "Siegel", "given" : "David A.", "non-dropping-particle" : "", "parse-names" : false, "suffix" : "" } ], "container-title" : "Remote Sensing of Environment", "id" : "ITEM-1", "issued" : { "date-parts" : [ [ "2015" ] ] }, "page" : "218-228", "publisher" : "Elsevier Inc.", "title" : "Remote monitoring of giant kelp biomass and physiological condition: An evaluation of the potential for the Hyperspectral Infrared Imager (HyspIRI) mission", "type" : "article-journal", "volume" : "167" }, "uris" : [ "http://www.mendeley.com/documents/?uuid=2a7bf520-12b8-4d53-b623-9e7178362efa" ] } ], "mendeley" : { "formattedCitation" : "(Bell et al., 2015b)", "plainTextFormattedCitation" : "(Bell et al., 2015b)", "previouslyFormattedCitation" : "(Bell et al., 2015b)" }, "properties" : { "noteIndex" : 0 }, "schema" : "https://github.com/citation-style-language/schema/raw/master/csl-citation.json" }</w:instrText>
      </w:r>
      <w:r>
        <w:fldChar w:fldCharType="separate"/>
      </w:r>
      <w:r w:rsidRPr="000447F9">
        <w:rPr>
          <w:noProof/>
        </w:rPr>
        <w:t>(Bell et al., 2015b)</w:t>
      </w:r>
      <w:r>
        <w:fldChar w:fldCharType="end"/>
      </w:r>
      <w:r>
        <w:t>. This strong co-variation provides support for asserting the role of both physical and biological drivers of kelp forest biogeochemistry.</w:t>
      </w:r>
    </w:p>
    <w:p w14:paraId="724B725D" w14:textId="69E03537" w:rsidR="005D6F9F" w:rsidRDefault="00230288" w:rsidP="00230288">
      <w:r>
        <w:rPr>
          <w:b/>
        </w:rPr>
        <w:tab/>
      </w:r>
      <w:r>
        <w:t xml:space="preserve">During periods of </w:t>
      </w:r>
      <w:r w:rsidR="004B7BDE">
        <w:t>strong upwelling, water column</w:t>
      </w:r>
      <w:r>
        <w:t xml:space="preserve"> stratification increased (Fig. 2b)</w:t>
      </w:r>
      <w:r w:rsidR="00F445D7">
        <w:t xml:space="preserve"> due to </w:t>
      </w:r>
      <w:r>
        <w:t xml:space="preserve">intrusion of cold, high DIC bottom water (Figs. 3 and 8) into the </w:t>
      </w:r>
      <w:r w:rsidR="004B7BDE">
        <w:t>deeper</w:t>
      </w:r>
      <w:r>
        <w:t xml:space="preserve"> sites. </w:t>
      </w:r>
      <w:r w:rsidR="003A4C07">
        <w:t xml:space="preserve">Once bottom water was introduced to the deeper sites, it was more easily exchanged </w:t>
      </w:r>
      <w:r w:rsidR="004B7BDE">
        <w:t xml:space="preserve">with kelp forest bottom waters </w:t>
      </w:r>
      <w:r w:rsidR="003A4C07">
        <w:t xml:space="preserve">on the exposed side than on the protected side. </w:t>
      </w:r>
      <w:r w:rsidR="005D6F9F">
        <w:t>Bottom water velocities from July to December 2013, when data were available within the kelp forest on both the protected and exposed side</w:t>
      </w:r>
      <w:r w:rsidR="00F95EFA">
        <w:t>s</w:t>
      </w:r>
      <w:r w:rsidR="005D6F9F">
        <w:t xml:space="preserve">, revealed larger velocity variability on the exposed side than on the protected side (Fig. 11). </w:t>
      </w:r>
      <w:r w:rsidR="00CF2CD4" w:rsidRPr="00CF2CD4">
        <w:t xml:space="preserve">The exposed side featured stronger </w:t>
      </w:r>
      <w:proofErr w:type="spellStart"/>
      <w:r w:rsidR="00CF2CD4" w:rsidRPr="00CF2CD4">
        <w:t>downcoast</w:t>
      </w:r>
      <w:proofErr w:type="spellEnd"/>
      <w:r w:rsidR="00CF2CD4" w:rsidRPr="00CF2CD4">
        <w:t xml:space="preserve"> (negative alongshore) and onshore (negative cross shore) flow than did the protected side, which increased the exchange between offshore waters and the exposed side more so than on the protected side.</w:t>
      </w:r>
      <w:r w:rsidR="005D6F9F">
        <w:t xml:space="preserve"> </w:t>
      </w:r>
      <w:r>
        <w:t xml:space="preserve">Further physical oceanographic studies should ascertain the mechanisms responsible for the enhanced bottom water exchange on the exposed side relative to the protected side. </w:t>
      </w:r>
      <w:r w:rsidR="005D6F9F">
        <w:t xml:space="preserve">We </w:t>
      </w:r>
      <w:r w:rsidR="004E6634">
        <w:t>also reco</w:t>
      </w:r>
      <w:r w:rsidR="00EE089B">
        <w:t>g</w:t>
      </w:r>
      <w:r w:rsidR="004E6634">
        <w:t>n</w:t>
      </w:r>
      <w:r w:rsidR="00EE089B">
        <w:t xml:space="preserve">ize </w:t>
      </w:r>
      <w:r w:rsidR="005D6F9F">
        <w:t xml:space="preserve">that higher frequency water sampling may have captured the biogeochemical signature of occasional bottom water advection into the shallower sites that was missed through weekly sampling alone.  </w:t>
      </w:r>
    </w:p>
    <w:p w14:paraId="35E77E27" w14:textId="3800D137" w:rsidR="00C074A3" w:rsidRDefault="005D6F9F" w:rsidP="00713D08">
      <w:r>
        <w:tab/>
        <w:t>In light of all the evidence for the role of physical processes in shaping the biogeochemistry of the kelp forest, we emphasize that photosynthesis still played an important role in shaping the carbon system variability in the surface waters. Surface water pCO</w:t>
      </w:r>
      <w:r w:rsidRPr="00E80F6E">
        <w:rPr>
          <w:vertAlign w:val="subscript"/>
        </w:rPr>
        <w:t>2</w:t>
      </w:r>
      <w:r>
        <w:t xml:space="preserve"> remained </w:t>
      </w:r>
      <w:proofErr w:type="spellStart"/>
      <w:r>
        <w:t>undersaturated</w:t>
      </w:r>
      <w:proofErr w:type="spellEnd"/>
      <w:r>
        <w:t xml:space="preserve"> with respect to the atmosphere starting at the beginning of upwelling season and persisted throughout the summer months (Fig. 5). The persistent </w:t>
      </w:r>
      <w:proofErr w:type="spellStart"/>
      <w:r>
        <w:t>undersaturation</w:t>
      </w:r>
      <w:proofErr w:type="spellEnd"/>
      <w:r>
        <w:t xml:space="preserve"> of surface waters is strong evidence of photosynthesis’ role in contributing to biogeochemical variability in spring and summer months, particularly in the surface waters where the bulk of kelp biomass resides. </w:t>
      </w:r>
      <w:r w:rsidR="00FD67D0">
        <w:t>We note that</w:t>
      </w:r>
      <w:r w:rsidR="004E6634">
        <w:t xml:space="preserve"> photosynthesis was likely occurring throughout most of the water column due to understory algae,</w:t>
      </w:r>
      <w:r w:rsidR="00713D08">
        <w:t xml:space="preserve"> but the vertical </w:t>
      </w:r>
      <w:r w:rsidR="00FD67D0">
        <w:t xml:space="preserve">resolution of our sampling (1 </w:t>
      </w:r>
      <w:proofErr w:type="spellStart"/>
      <w:r w:rsidR="00FD67D0">
        <w:t>mab</w:t>
      </w:r>
      <w:proofErr w:type="spellEnd"/>
      <w:r w:rsidR="00FD67D0">
        <w:t xml:space="preserve"> and 1 </w:t>
      </w:r>
      <w:proofErr w:type="spellStart"/>
      <w:r w:rsidR="00FD67D0">
        <w:t>mbs</w:t>
      </w:r>
      <w:proofErr w:type="spellEnd"/>
      <w:r w:rsidR="00FD67D0">
        <w:t xml:space="preserve">) prohibits us </w:t>
      </w:r>
      <w:r w:rsidR="00713D08">
        <w:t xml:space="preserve">from being able to </w:t>
      </w:r>
      <w:r w:rsidR="004E6634">
        <w:t xml:space="preserve">quantify this contribution. </w:t>
      </w:r>
      <w:r w:rsidR="00713D08">
        <w:t xml:space="preserve">More vertically resolved measurements are needed to </w:t>
      </w:r>
      <w:r w:rsidR="004E6634">
        <w:t>understand</w:t>
      </w:r>
      <w:r w:rsidR="00713D08">
        <w:t xml:space="preserve"> the role of understory production in the kelp forest. </w:t>
      </w:r>
    </w:p>
    <w:p w14:paraId="5F815E0D" w14:textId="4B4F8993" w:rsidR="00CE425B" w:rsidRDefault="00713D08" w:rsidP="005D6F9F">
      <w:r>
        <w:tab/>
      </w:r>
      <w:r w:rsidR="005D6F9F">
        <w:t>Although we are unable to quantitatively partition the photosynthetic activity between kelp and phytoplankton in the kelp forest, we note that surface pCO</w:t>
      </w:r>
      <w:r w:rsidR="005D6F9F" w:rsidRPr="006C1C0B">
        <w:rPr>
          <w:vertAlign w:val="subscript"/>
        </w:rPr>
        <w:t>2</w:t>
      </w:r>
      <w:r w:rsidR="005D6F9F">
        <w:t xml:space="preserve"> was </w:t>
      </w:r>
      <w:proofErr w:type="spellStart"/>
      <w:r w:rsidR="005D6F9F">
        <w:t>undersaturated</w:t>
      </w:r>
      <w:proofErr w:type="spellEnd"/>
      <w:r w:rsidR="005D6F9F">
        <w:t xml:space="preserve"> as early as February 2014 (Fig. 5b), when kelp canopy biomass was near minimum values (Fig. 2a). We hypothesize that early season CO</w:t>
      </w:r>
      <w:r w:rsidR="005D6F9F" w:rsidRPr="006C1C0B">
        <w:rPr>
          <w:vertAlign w:val="subscript"/>
        </w:rPr>
        <w:t>2</w:t>
      </w:r>
      <w:r w:rsidR="005D6F9F">
        <w:t xml:space="preserve"> uptake was controlled by the phytoplankton community in the absence of kelp. Once the kelp canopy was established several months later, the kelp played an important biogeochemical role both through direct photosynthetic uptake, as well as reducing water velocity within the kelp forest </w:t>
      </w:r>
      <w:r w:rsidR="005D6F9F">
        <w:fldChar w:fldCharType="begin" w:fldLock="1"/>
      </w:r>
      <w:r w:rsidR="005D6F9F">
        <w:instrText>ADDIN CSL_CITATION { "citationItems" : [ { "id" : "ITEM-1", "itemData" : { "DOI" : "10.1029/2005JC003430", "ISBN" : "0148-0227", "ISSN" : "21699291", "abstract" : "Macrocystis pyrifera (Giant Kelp) forests form important habitats in temperate coastal regions. Hydrodynamics control the transport of nutrients, food particles, larvae and spores at scales ranging from boundary layers around individual blades to entire kelp forests. Our measurements include vertical profiles of current and temperature, and concurrent wave measurements, at a number of different locations in and around a kelp forest at Santa Cruz, California. We find that flow at the site is dominated by variations at diurnal and semidiurnal frequencies. A vertically sheared across-shore flow, consistent with flow driven by an across-shore density gradient, is thought to be important for exchange between the kelp forest and the surrounding coastal ocean. Within the kelp forest, currents are reduced by a factor that correlates with surface canopy coverage, higher frequency internal waves are damped, and onshore transport due to waves (Stokes drift) is estimated to be similar in magnitude to that due to currents. Richardson numbers within the kelp forest are higher than those outside the kelp forest and indicate that the water column within the kelp forest is usually stable to turbulence generation by mean velocity shear. Citation:", "author" : [ { "dropping-particle" : "", "family" : "Rosman", "given" : "Johanna H.", "non-dropping-particle" : "", "parse-names" : false, "suffix" : "" }, { "dropping-particle" : "", "family" : "Koseff", "given" : "Jeffrey R.", "non-dropping-particle" : "", "parse-names" : false, "suffix" : "" }, { "dropping-particle" : "", "family" : "Monismith", "given" : "Stephen G.", "non-dropping-particle" : "", "parse-names" : false, "suffix" : "" }, { "dropping-particle" : "", "family" : "Grover", "given" : "Jamie", "non-dropping-particle" : "", "parse-names" : false, "suffix" : "" } ], "container-title" : "Journal of Geophysical Research: Oceans", "id" : "ITEM-1", "issue" : "2", "issued" : { "date-parts" : [ [ "2007" ] ] }, "note" : "Rosman et al. 2007-L&amp;amp;O-hydrodynamics of a kelp forest in Santa Cruz, CA\nKelp forest capable of greatly reducing velocity variability within the kelp frest, especially in the alongshore direction-alongshore velocity reduction factor of 4-5 and cross-shore velocity reduction factors of 2.5-3.5. Velocity reduction factors are a function of surface canopy coverage. Calculated Richardson number: Ri=N^2/S^2 where N is the buoyancy frequency and S is the velocity shear. Ri&amp;gt;0.25 indicate stratification is strong enough to suppress turbulence. Ri&amp;gt;0.25 much more frequently in the kelp forest than outside the kelp forest (where Ri increased due to velocity shear at benthic and surface boundary layers)-&amp;gt;kelp suppress turbulent mixing.", "page" : "1-16", "title" : "A field investigation into the effects of a kelp forest (Macrocystis pyrifera) on coastal hydrodynamics and transport", "type" : "article-journal", "volume" : "112" }, "uris" : [ "http://www.mendeley.com/documents/?uuid=539af35c-1d80-41b6-99e2-cce0a4147e8d" ] } ], "mendeley" : { "formattedCitation" : "(Rosman et al., 2007)", "plainTextFormattedCitation" : "(Rosman et al., 2007)", "previouslyFormattedCitation" : "(Rosman et al., 2007)" }, "properties" : { "noteIndex" : 0 }, "schema" : "https://github.com/citation-style-language/schema/raw/master/csl-citation.json" }</w:instrText>
      </w:r>
      <w:r w:rsidR="005D6F9F">
        <w:fldChar w:fldCharType="separate"/>
      </w:r>
      <w:r w:rsidR="005D6F9F" w:rsidRPr="000447F9">
        <w:rPr>
          <w:noProof/>
        </w:rPr>
        <w:t>(Rosman et al., 2007)</w:t>
      </w:r>
      <w:r w:rsidR="005D6F9F">
        <w:fldChar w:fldCharType="end"/>
      </w:r>
      <w:r w:rsidR="005D6F9F">
        <w:t xml:space="preserve">, which allowed greater biogeochemical modification of surface water chemistry through phytoplankton and kelp metabolism. This hypothesis is testable using offshore sampling sites outside the influence of the kelp forest to better quantify the phytoplankton and kelp community contributions to the observed biogeochemical variability. However, our offshore sites were only tens of meters outside of the kelp. Therefore, it is not surprising that we are unable to distinguish surface waters from within the kelp forest from those just outside the kelp. Future sampling efforts </w:t>
      </w:r>
      <w:r w:rsidR="005D6F9F">
        <w:lastRenderedPageBreak/>
        <w:t xml:space="preserve">would benefit from utilizing offshore sites further from the influence of the kelp, as well as to utilize phytoplankton-specific tracers, such as silica </w:t>
      </w:r>
      <w:r w:rsidR="005D6F9F">
        <w:fldChar w:fldCharType="begin" w:fldLock="1"/>
      </w:r>
      <w:r w:rsidR="005D6F9F">
        <w:instrText>ADDIN CSL_CITATION { "citationItems" : [ { "id" : "ITEM-1", "itemData" : { "author" : [ { "dropping-particle" : "", "family" : "Jackson", "given" : "George A", "non-dropping-particle" : "", "parse-names" : false, "suffix" : "" } ], "container-title" : "Limnology and Oceanography", "id" : "ITEM-1", "issue" : "6", "issued" : { "date-parts" : [ [ "1977" ] ] }, "note" : "Jackson 1977-L&amp;amp;O-Nutrients in a southern CA kelp forest \u00a0\u00a0\u00a0\u00a0\u00a0\u00a0\u00a0\u00a0\u00a0\u00a0\u00a0 \nStudy focused on Pt. Loma kelp forest in San Diego (8km latitude x 1km longitude). Kelp forest can become N-limited. Max P values recorded at 0.8 uM, max NO3- at 4.5uM on 27 May 1975. \u00a0Variations in the height of the thermocline attributed to internal waves. Using Si as a tracer for phytoplankton vs. M. pyrifera uptake (kelp can\u2019t uptake Si). Pt Loma nutrient distributions somewhat influenced by San Diego sewer outfall. Oxyen:N uptake ratios provided for nitrate and ammonium. Lots of delta O2: delta N plots-good for thinking about nutrient stoichiometry. Nitrogen uptake higher during periods of higher nitrate concentrations. Nutrient delivery to plants determined not only by ambient nutrient concentrations, but also by mixing dynamics (i.e. boundary layer thickness).", "page" : "979-995", "title" : "Nutrients and production of giant kelp, Macrocystis pyrifera, off southern California", "type" : "article-journal", "volume" : "22" }, "uris" : [ "http://www.mendeley.com/documents/?uuid=99709133-ca30-48ca-b9f8-21cff639d4d6" ] } ], "mendeley" : { "formattedCitation" : "(Jackson, 1977)", "plainTextFormattedCitation" : "(Jackson, 1977)", "previouslyFormattedCitation" : "(Jackson, 1977)" }, "properties" : { "noteIndex" : 0 }, "schema" : "https://github.com/citation-style-language/schema/raw/master/csl-citation.json" }</w:instrText>
      </w:r>
      <w:r w:rsidR="005D6F9F">
        <w:fldChar w:fldCharType="separate"/>
      </w:r>
      <w:r w:rsidR="005D6F9F" w:rsidRPr="006C1C0B">
        <w:rPr>
          <w:noProof/>
        </w:rPr>
        <w:t>(Jackson, 1977)</w:t>
      </w:r>
      <w:r w:rsidR="005D6F9F">
        <w:fldChar w:fldCharType="end"/>
      </w:r>
      <w:r w:rsidR="005D6F9F">
        <w:t>, in order to better partition the biogeochemical contributions from various functional groups within the kelp forest community.</w:t>
      </w:r>
    </w:p>
    <w:p w14:paraId="1EEE713C" w14:textId="237E5141" w:rsidR="002267FB" w:rsidRDefault="002267FB" w:rsidP="005D6F9F">
      <w:r>
        <w:tab/>
        <w:t xml:space="preserve">In contrast to the evidence for surface photosynthesis, we do not see biogeochemical evidence for </w:t>
      </w:r>
      <w:r w:rsidR="00682546">
        <w:t xml:space="preserve">significant </w:t>
      </w:r>
      <w:r>
        <w:t xml:space="preserve">calcification within the kelp forest. </w:t>
      </w:r>
      <w:r w:rsidR="00682546">
        <w:t>B</w:t>
      </w:r>
      <w:r>
        <w:t xml:space="preserve">enthic calcification would </w:t>
      </w:r>
      <w:r w:rsidR="00C074A3">
        <w:t xml:space="preserve">have </w:t>
      </w:r>
      <w:r>
        <w:t>deplete</w:t>
      </w:r>
      <w:r w:rsidR="00C074A3">
        <w:t>d</w:t>
      </w:r>
      <w:r>
        <w:t xml:space="preserve"> TA in the bottom waters relative to the surface, yet we see no consistent pattern in </w:t>
      </w:r>
      <w:r w:rsidR="00682546">
        <w:t xml:space="preserve">the vertical TA gradients (Fig. 6b). The lack of TA gradients suggests that the biogeochemical signature of calcification in the bottom waters of the kelp forest </w:t>
      </w:r>
      <w:r w:rsidR="00F445D7">
        <w:t>was</w:t>
      </w:r>
      <w:r w:rsidR="00682546">
        <w:t xml:space="preserve"> small relative to </w:t>
      </w:r>
      <w:r w:rsidR="00C174BA">
        <w:t xml:space="preserve">bottom water exchange in the kelp forest. </w:t>
      </w:r>
    </w:p>
    <w:p w14:paraId="24DDB226" w14:textId="1977806C" w:rsidR="005D6F9F" w:rsidRDefault="005D6F9F" w:rsidP="005D6F9F">
      <w:pPr>
        <w:pStyle w:val="Heading2"/>
      </w:pPr>
      <w:r>
        <w:t>4.2 Implications for understanding kelp forest ecosystems in an era of global change</w:t>
      </w:r>
    </w:p>
    <w:p w14:paraId="34D335F1" w14:textId="47CE1D06" w:rsidR="00005E12" w:rsidRDefault="00005E12" w:rsidP="00005E12">
      <w:r>
        <w:rPr>
          <w:b/>
        </w:rPr>
        <w:tab/>
      </w:r>
      <w:r>
        <w:t xml:space="preserve">Our data </w:t>
      </w:r>
      <w:r w:rsidR="009C2AAA">
        <w:t>provide critical biogeochemical baselines to assess kelp forest responses to local and global stressors</w:t>
      </w:r>
      <w:r w:rsidR="00F41C62">
        <w:t>, and further</w:t>
      </w:r>
      <w:r w:rsidR="009C2AAA">
        <w:t xml:space="preserve"> </w:t>
      </w:r>
      <w:r>
        <w:t xml:space="preserve">highlight the necessity of long-term, spatially expansive sampling for gaining insights into the patterns and controls on kelp forest biogeochemistry. Kelp forests are spatially and temporally dynamic environments generally found along upwelling margins, so any assessment of their biogeochemical variability must account for the variability in their seasonal-to-interannual physical </w:t>
      </w:r>
      <w:r>
        <w:fldChar w:fldCharType="begin" w:fldLock="1"/>
      </w:r>
      <w:r>
        <w:instrText>ADDIN CSL_CITATION { "citationItems" : [ { "id" : "ITEM-1", "itemData" : { "DOI" : "10.1016/j.pocean.2009.07.028", "ISBN" : "00796611", "ISSN" : "00796611", "abstract" : "The California Current System (CCS) is forced by the distribution of atmospheric pressure and associated winds in relation to the west coast of North America. In this paper, we begin with a simplified case of winds and a linear coast, then consider variability characteristic of the CCS, and conclude by considering future change. The CCS extends from the North Pacific Current (???50??N) to off Baja California, Mexico (???15-25??N) with a major discontinuity at Point Conception (34.5??N). Variation in atmospheric pressure affects winds and thus upwelling. Coastal, wind-driven upwelling results in nutrification and biological production and a southward coastal jet. Offshore, curl-driven upwelling results in a spatially large, productive habitat. The California Current flows equatorward and derives from the North Pacific Current and the coastal jet. Dominant modes of spatial and temporal variability in physical processes and biological responses are discussed. High surface production results in deep and bottom waters depleted in oxygen and enriched in carbon dioxide. Fishing has depleted demersal stocks more than pelagic stocks, and marine mammals, including whales, are recovering. Krill, squid, and micronekton are poorly known and merit study. Future climate change will differ from past change and thus prediction of the CCS requires an understanding of its dynamics. Of particular concern are changes in winds, stratification, and ocean chemistry. ?? 2009 Elsevier Ltd. All rights reserved.", "author" : [ { "dropping-particle" : "", "family" : "Checkley", "given" : "David M.", "non-dropping-particle" : "", "parse-names" : false, "suffix" : "" }, { "dropping-particle" : "", "family" : "Barth", "given" : "John A.", "non-dropping-particle" : "", "parse-names" : false, "suffix" : "" } ], "container-title" : "Progress in Oceanography", "id" : "ITEM-1", "issued" : { "date-parts" : [ [ "2009" ] ] }, "page" : "49-64", "publisher" : "Elsevier Ltd", "title" : "Patterns and processes in the California Current System", "type" : "article-journal", "volume" : "83" }, "uris" : [ "http://www.mendeley.com/documents/?uuid=99c38be1-6b6d-47cc-b35e-d7d9192154fa" ] }, { "id" : "ITEM-2", "itemData" : { "DOI" : "10.1029/2008GL035933", "ISBN" : "0094-8276", "ISSN" : "00948276", "abstract" : "Changes in the amplitude and phasing of seasonal events (phenology) can affect the functioning of marine ecosystems. Phenology plays a particularly critical role in eastern boundary ecosystems, which are driven largely by the seasonal cycle of coastal upwelling. Here we develop and describe a set of indicators that quantify the timing, evolution, intensity, and duration of coastal upwelling in the California Current large marine ecosystem (CCLME). There is significant interannual variability in upwelling characteristics during 1967-2007, with extended periods of high (1970s, 1998-2004) and low (1980-1995) seasonally-integrated upwelling and a trend towards a later and shorter upwelling season in the northern CCLME. El Nino years were characterized by delayed and weak upwelling in the central CCLME. Understanding the causes and ecosystem consequences of phenological changes in coastal upwelling is critical, as climate models project significant variability in the amplitude and phase of coastal upwelling under varying climate change scenarios.", "author" : [ { "dropping-particle" : "", "family" : "Bograd", "given" : "Steven J.", "non-dropping-particle" : "", "parse-names" : false, "suffix" : "" }, { "dropping-particle" : "", "family" : "Schroeder", "given" : "Isaac", "non-dropping-particle" : "", "parse-names" : false, "suffix" : "" }, { "dropping-particle" : "", "family" : "Sarkar", "given" : "Nandita", "non-dropping-particle" : "", "parse-names" : false, "suffix" : "" }, { "dropping-particle" : "", "family" : "Qiu", "given" : "Xuemei", "non-dropping-particle" : "", "parse-names" : false, "suffix" : "" }, { "dropping-particle" : "", "family" : "Sydeman", "given" : "William J.", "non-dropping-particle" : "", "parse-names" : false, "suffix" : "" }, { "dropping-particle" : "", "family" : "Schwing", "given" : "Franklin B.", "non-dropping-particle" : "", "parse-names" : false, "suffix" : "" } ], "container-title" : "Geophysical Research Letters", "id" : "ITEM-2", "issue" : "1", "issued" : { "date-parts" : [ [ "2009" ] ] }, "note" : "Bograd et al. GRL-2009-timing of upwelling along the California Current (north and central CCS only)\nUpwelling Index and Cumulative Upwelling Index-Summed Upwelling Index from Jan 1-current date for the entire year. Quantitative statistics for start and end of upwelling season based on CUI. Upwelling season at 36N ~320 days long-so not clearly defined start and stop of upwelling season. Moving further north, upwelling season decreases in length. Timing of upwelling season and consistency from year-to-year important", "page" : "1-5", "title" : "Phenology of coastal upwelling in the California Current", "type" : "article-journal", "volume" : "36" }, "uris" : [ "http://www.mendeley.com/documents/?uuid=44dcfc08-9cd2-464f-ac21-f4164f0a8925" ] } ], "mendeley" : { "formattedCitation" : "(Bograd et al., 2009; Checkley and Barth, 2009)", "plainTextFormattedCitation" : "(Bograd et al., 2009; Checkley and Barth, 2009)", "previouslyFormattedCitation" : "(Bograd et al., 2009; Checkley and Barth, 2009)" }, "properties" : { "noteIndex" : 0 }, "schema" : "https://github.com/citation-style-language/schema/raw/master/csl-citation.json" }</w:instrText>
      </w:r>
      <w:r>
        <w:fldChar w:fldCharType="separate"/>
      </w:r>
      <w:r w:rsidRPr="000447F9">
        <w:rPr>
          <w:noProof/>
        </w:rPr>
        <w:t>(Bograd et al., 2009; Checkley and Barth, 2009)</w:t>
      </w:r>
      <w:r>
        <w:fldChar w:fldCharType="end"/>
      </w:r>
      <w:r>
        <w:t xml:space="preserve"> and biological controls </w:t>
      </w:r>
      <w:r>
        <w:fldChar w:fldCharType="begin" w:fldLock="1"/>
      </w:r>
      <w:r>
        <w:instrText>ADDIN CSL_CITATION { "citationItems" : [ { "id" : "ITEM-1", "itemData" : { "DOI" : "10.1016/j.rse.2015.05.003", "ISBN" : "0034-4257", "ISSN" : "00344257", "abstract" : "This study examines the potential of the Hyperspectral Infrared Imager (HyspIRI) mission for monitoring the biomass and physiological condition of giant kelp forests on local to global scales. Giant kelp is a highly dynamic foundation species that supports an ecologically and economically important ecosystem found throughout the globe. Satellite, airborne, and field data are used to evaluate the suitability of HyspIRI's spatial, temporal, and spectral coverage for capturing variability in giant kelp biomass and physiological state. We analyze a 28-year time series of giant kelp biomass derived from Landsat satellite imagery in order to identify the dominant temporal modes of variability in giant kelp biomass using the California coast as a model region likely to be relevant to other regions of the globe. Temporal variability in California kelp canopy biomass is compared to the expected availability of cloud-free HyspIRI Visible Shortwave Infrared (VSWIR) views for regions of the world that contain giant kelp populations. Spectral variability is explored by assessing how changes in the physiological condition of giant kelp canopy are exhibited in the reflectance and transmittance of kelp fronds. We compare chlorophyll a to carbon ratios (Chl:C) of kelp fronds collected off the coast of California to laboratory and airborne measurements of hyperspectral reflectance in order to develop metrics of kelp physiological condition. The seasonal cycle dominates giant kelp canopy biomass temporal variability. However, the strength and timing of this cycle varies in both space and time. Our projections of cloud-free HyspIRI coverage indicate that the sensor will be able to capture at least 1 cloud free view each season for nearly all of the global giant kelp habitats, thereby illustrating that HyspIRI will resolve the dominant seasonal cycles in giant kelp biomass. A novel spectral index developed here from field observations explained 76% of the variance in Chl:C and was applied to hyperspectral aircraft observations. These results demonstrate that the spatial, temporal, and spectral coverage provided by HyspIRI has the potential to provide new insights into the ecology and biophysiology of giant kelp.", "author" : [ { "dropping-particle" : "", "family" : "Bell", "given" : "Tom W.", "non-dropping-particle" : "", "parse-names" : false, "suffix" : "" }, { "dropping-particle" : "", "family" : "Cavanaugh", "given" : "Kyle C.", "non-dropping-particle" : "", "parse-names" : false, "suffix" : "" }, { "dropping-particle" : "", "family" : "Siegel", "given" : "David A.", "non-dropping-particle" : "", "parse-names" : false, "suffix" : "" } ], "container-title" : "Remote Sensing of Environment", "id" : "ITEM-1", "issued" : { "date-parts" : [ [ "2015" ] ] }, "page" : "218-228", "publisher" : "Elsevier Inc.", "title" : "Remote monitoring of giant kelp biomass and physiological condition: An evaluation of the potential for the Hyperspectral Infrared Imager (HyspIRI) mission", "type" : "article-journal", "volume" : "167" }, "uris" : [ "http://www.mendeley.com/documents/?uuid=2a7bf520-12b8-4d53-b623-9e7178362efa" ] } ], "mendeley" : { "formattedCitation" : "(Bell et al., 2015b)", "plainTextFormattedCitation" : "(Bell et al., 2015b)", "previouslyFormattedCitation" : "(Bell et al., 2015b)" }, "properties" : { "noteIndex" : 0 }, "schema" : "https://github.com/citation-style-language/schema/raw/master/csl-citation.json" }</w:instrText>
      </w:r>
      <w:r>
        <w:fldChar w:fldCharType="separate"/>
      </w:r>
      <w:r w:rsidRPr="000447F9">
        <w:rPr>
          <w:noProof/>
        </w:rPr>
        <w:t>(Bell et al., 2015b)</w:t>
      </w:r>
      <w:r>
        <w:fldChar w:fldCharType="end"/>
      </w:r>
      <w:r>
        <w:t>. We have demonstrated how variations in these physical and biological controls in a central California kelp forest create biogeochemically heterogeneous environments. This creates the opportunity to do localized “space-for-time” experiments to understand benthic organismal and community response to high CO</w:t>
      </w:r>
      <w:r w:rsidRPr="00AE739B">
        <w:rPr>
          <w:vertAlign w:val="subscript"/>
        </w:rPr>
        <w:t>2</w:t>
      </w:r>
      <w:r>
        <w:t xml:space="preserve"> seawater. In contrast to larger space-for-time experiments </w:t>
      </w:r>
      <w:r>
        <w:fldChar w:fldCharType="begin" w:fldLock="1"/>
      </w:r>
      <w:r>
        <w:instrText>ADDIN CSL_CITATION { "citationItems" : [ { "id" : "ITEM-1", "itemData" : { "DOI" : "10.5194/bg-11-1053-2014", "ISBN" : "1011825201", "ISSN" : "17264170", "author" : [ { "dropping-particle" : "", "family" : "Hofmann", "given" : "Gretchen E.", "non-dropping-particle" : "", "parse-names" : false, "suffix" : "" }, { "dropping-particle" : "", "family" : "Evans", "given" : "T. G.", "non-dropping-particle" : "", "parse-names" : false, "suffix" : "" }, { "dropping-particle" : "", "family" : "Kelly", "given" : "M. W.", "non-dropping-particle" : "", "parse-names" : false, "suffix" : "" }, { "dropping-particle" : "", "family" : "Padilla-Gami\u00f1o", "given" : "J. L.", "non-dropping-particle" : "", "parse-names" : false, "suffix" : "" }, { "dropping-particle" : "", "family" : "Blanchette", "given" : "C. A.", "non-dropping-particle" : "", "parse-names" : false, "suffix" : "" }, { "dropping-particle" : "", "family" : "Washburn", "given" : "L.", "non-dropping-particle" : "", "parse-names" : false, "suffix" : "" }, { "dropping-particle" : "", "family" : "Chan", "given" : "F.", "non-dropping-particle" : "", "parse-names" : false, "suffix" : "" }, { "dropping-particle" : "", "family" : "McManus", "given" : "M.A.", "non-dropping-particle" : "", "parse-names" : false, "suffix" : "" }, { "dropping-particle" : "", "family" : "Menge", "given" : "B A", "non-dropping-particle" : "", "parse-names" : false, "suffix" : "" }, { "dropping-particle" : "", "family" : "Gaylord", "given" : "B.", "non-dropping-particle" : "", "parse-names" : false, "suffix" : "" }, { "dropping-particle" : "", "family" : "Hill", "given" : "T. M.", "non-dropping-particle" : "", "parse-names" : false, "suffix" : "" }, { "dropping-particle" : "", "family" : "Sanford", "given" : "E.", "non-dropping-particle" : "", "parse-names" : false, "suffix" : "" }, { "dropping-particle" : "", "family" : "Lavigne", "given" : "M.", "non-dropping-particle" : "", "parse-names" : false, "suffix" : "" }, { "dropping-particle" : "", "family" : "Rose", "given" : "J. M.", "non-dropping-particle" : "", "parse-names" : false, "suffix" : "" }, { "dropping-particle" : "", "family" : "Kapsenberg", "given" : "L.", "non-dropping-particle" : "", "parse-names" : false, "suffix" : "" }, { "dropping-particle" : "", "family" : "Dutton", "given" : "J. M.", "non-dropping-particle" : "", "parse-names" : false, "suffix" : "" } ], "container-title" : "Biogeosciences", "id" : "ITEM-1", "issue" : "4", "issued" : { "date-parts" : [ [ "2014" ] ] }, "page" : "1053-1064", "title" : "Exploring local adaptation and the ocean acidification seascape-studies in the California Current Large Marine Ecosystem", "type" : "article-journal", "volume" : "11" }, "uris" : [ "http://www.mendeley.com/documents/?uuid=9676b769-3a01-4f96-badc-6d9482e378cd" ] } ], "mendeley" : { "formattedCitation" : "(Hofmann et al., 2014)", "plainTextFormattedCitation" : "(Hofmann et al., 2014)", "previouslyFormattedCitation" : "(Hofmann et al., 2014)" }, "properties" : { "noteIndex" : 0 }, "schema" : "https://github.com/citation-style-language/schema/raw/master/csl-citation.json" }</w:instrText>
      </w:r>
      <w:r>
        <w:fldChar w:fldCharType="separate"/>
      </w:r>
      <w:r w:rsidRPr="000447F9">
        <w:rPr>
          <w:noProof/>
        </w:rPr>
        <w:t>(Hofmann et al., 2014)</w:t>
      </w:r>
      <w:r>
        <w:fldChar w:fldCharType="end"/>
      </w:r>
      <w:r>
        <w:t xml:space="preserve">, a single kelp forest may be sufficient for replicating the geochemical gradients expected between current conditions and future </w:t>
      </w:r>
      <w:r w:rsidR="00AB4034">
        <w:t>conditions under</w:t>
      </w:r>
      <w:r>
        <w:t xml:space="preserve"> </w:t>
      </w:r>
      <w:r w:rsidR="00AB4034">
        <w:t xml:space="preserve">ocean </w:t>
      </w:r>
      <w:r w:rsidR="001E0C95">
        <w:t>acidification</w:t>
      </w:r>
      <w:r>
        <w:t xml:space="preserve">. These localized space-for-time experiments could be conducted in small environments (hundreds of meters, not hundreds of </w:t>
      </w:r>
      <w:proofErr w:type="spellStart"/>
      <w:r>
        <w:t>kilometers</w:t>
      </w:r>
      <w:proofErr w:type="spellEnd"/>
      <w:r>
        <w:t xml:space="preserve">) with near identical biological assemblages and for a fraction of the cost and effort. Combining transplant experiments with observational work could leverage the biogeochemical differences between areas of a kelp forest to yield important insights into the adaptive potential of benthic community members under the combined stresses of global change. </w:t>
      </w:r>
    </w:p>
    <w:p w14:paraId="25C940A2" w14:textId="77777777" w:rsidR="00005E12" w:rsidRDefault="00005E12" w:rsidP="00005E12">
      <w:r>
        <w:tab/>
        <w:t>Aqueous CO</w:t>
      </w:r>
      <w:r w:rsidRPr="000C779B">
        <w:rPr>
          <w:vertAlign w:val="subscript"/>
        </w:rPr>
        <w:t>2</w:t>
      </w:r>
      <w:r w:rsidRPr="000C779B">
        <w:t xml:space="preserve"> </w:t>
      </w:r>
      <w:r>
        <w:t>variability typically does not occur in isolation of other biogeochemical and environmental changes. Although we do not have the O</w:t>
      </w:r>
      <w:r w:rsidRPr="007412C8">
        <w:rPr>
          <w:vertAlign w:val="subscript"/>
        </w:rPr>
        <w:t>2</w:t>
      </w:r>
      <w:r w:rsidRPr="007412C8">
        <w:t xml:space="preserve"> </w:t>
      </w:r>
      <w:r>
        <w:t>measurements to accompany our carbon system time series, co-variation of CO</w:t>
      </w:r>
      <w:r w:rsidRPr="007412C8">
        <w:rPr>
          <w:vertAlign w:val="subscript"/>
        </w:rPr>
        <w:t>2</w:t>
      </w:r>
      <w:r>
        <w:t xml:space="preserve"> and O</w:t>
      </w:r>
      <w:r w:rsidRPr="007412C8">
        <w:rPr>
          <w:vertAlign w:val="subscript"/>
        </w:rPr>
        <w:t>2</w:t>
      </w:r>
      <w:r>
        <w:t xml:space="preserve"> has been well documented in California’s coastal ecosystems </w:t>
      </w:r>
      <w:r>
        <w:fldChar w:fldCharType="begin" w:fldLock="1"/>
      </w:r>
      <w:r>
        <w:instrText>ADDIN CSL_CITATION { "citationItems" : [ { "id" : "ITEM-1", "itemData" : { "DOI" : "10.5194/bg-9-3917-2012", "ISSN" : "1726-4189", "author" : [ { "dropping-particle" : "", "family" : "Frieder", "given" : "C. A.", "non-dropping-particle" : "", "parse-names" : false, "suffix" : "" }, { "dropping-particle" : "", "family" : "Nam", "given" : "S. H.", "non-dropping-particle" : "", "parse-names" : false, "suffix" : "" }, { "dropping-particle" : "", "family" : "Martz", "given" : "Todd R", "non-dropping-particle" : "", "parse-names" : false, "suffix" : "" }, { "dropping-particle" : "", "family" : "Levin", "given" : "L. A.", "non-dropping-particle" : "", "parse-names" : false, "suffix" : "" } ], "container-title" : "Biogeosciences", "id" : "ITEM-1", "issue" : "10", "issued" : { "date-parts" : [ [ "2012", "10", "12" ] ] }, "note" : "Frieder et al. 2012-Biogeosciences-Year long records of DO and pH from a southern California nearshore kelp forest \u00a0\u00a0\u00a0\u00a0\u00a0\u00a0\u00a0\u00a0\u00a0\u00a0\u00a0 \nWhat are the spatial and temporal dynamics of DO and pH in the Southern California Bight (SCB) kelp forest ecosystems? Multiple SeapHOx\u2019s deployed to measure depth, alongshore, and cross-shore pH and O2 variability. Depth variability: one seapHOx at 7m and one at 17m depth (me: is this too deep to catch most of the canopy effects?). Two most dominant modes of periodic variability: diurnal and semidiurnal. Semidiurnal variability in pH and O2 mostly physically forced (close correlation with temperature). Diurnal variability less physically forced (changes in pH and O2 decoupled from temperature=&amp;gt;more signature of metabolic activity). Event scale variability also observed (one-day to multiple weeks)-can drive increases or decreases in pH and O2. pH daily range ~0.1-0.2 units. ~0.2 unit decrease in pH from 7m depth to 17m depth. Near-surface (7m) measurements more variable than those at depth (17m) for\u00a0 DO, pH, and T. Greatest changes in event-scale DO due to changes in alongshore current from south heading to north heading. Small alongshore differences in pH and DO, strong differences in cross shore direction at 7m depth. Positive correlation between pH and O2 at both 7m and 17m, but correlation is stronger at 17m depth. Estimate pCO2 and omega using pH data and TA estimates-only have a few samples-using max and min values from those samples to calculate C system variables. Bottom water pCO2 approaching 1000 ppm, Omega_Ar approaching, but not going lower, than 1. Study highlights the importance of alongshore currents for DO and pH variability.", "page" : "3917-3930", "title" : "High temporal and spatial variability of dissolved oxygen and pH in a nearshore California kelp forest", "type" : "article-journal", "volume" : "9" }, "uris" : [ "http://www.mendeley.com/documents/?uuid=7717eef2-6302-4c4b-ab46-492a8a93e19d" ] }, { "id" : "ITEM-2", "itemData" : { "DOI" : "10.5194/bg-12-5853-2015", "author" : [ { "dropping-particle" : "", "family" : "Takeshita", "given" : "Y", "non-dropping-particle" : "", "parse-names" : false, "suffix" : "" }, { "dropping-particle" : "", "family" : "Frieder", "given" : "C A", "non-dropping-particle" : "", "parse-names" : false, "suffix" : "" }, { "dropping-particle" : "", "family" : "Martz", "given" : "T R", "non-dropping-particle" : "", "parse-names" : false, "suffix" : "" }, { "dropping-particle" : "", "family" : "Ballard", "given" : "J R", "non-dropping-particle" : "", "parse-names" : false, "suffix" : "" }, { "dropping-particle" : "", "family" : "Feely", "given" : "R A", "non-dropping-particle" : "", "parse-names" : false, "suffix" : "" }, { "dropping-particle" : "", "family" : "Kram", "given" : "S", "non-dropping-particle" : "", "parse-names" : false, "suffix" : "" }, { "dropping-particle" : "", "family" : "Nam", "given" : "S", "non-dropping-particle" : "", "parse-names" : false, "suffix" : "" }, { "dropping-particle" : "", "family" : "Navarro", "given" : "M O", "non-dropping-particle" : "", "parse-names" : false, "suffix" : "" }, { "dropping-particle" : "", "family" : "Price", "given" : "Nichole N.", "non-dropping-particle" : "", "parse-names" : false, "suffix" : "" }, { "dropping-particle" : "", "family" : "Smith", "given" : "Jennifer E.", "non-dropping-particle" : "", "parse-names" : false, "suffix" : "" } ], "container-title" : "Biogeosciences", "id" : "ITEM-2", "issued" : { "date-parts" : [ [ "2015" ] ] }, "note" : "Takeshita et al. 2015- Biogeosciences-CO2 system variaibility in Southern CA Bight using sensor data and model projections\nAcidification of CCS expected to be greater b/c of reducing buffering capacity at higher CO2 levels. ROMS models good for resolving processes along the CA coast, but 5km grid resolution is not enough to capture habitat-level CO2 chemistry (and hence sensitivity to OA). Can turn to autonomous sensors to understand habitat-level CO2 variability and OA. Study combines autonomous sensor data, empiricial CO2 system relationships, hydrographic data, and atmospheric CO2 forcing to model habitat specific CO2 signatures and trajectories.", "page" : "5853-5870", "title" : "Including high-frequency variability in coastal ocean acidification projections", "type" : "article-journal", "volume" : "12" }, "uris" : [ "http://www.mendeley.com/documents/?uuid=8fd9de92-b044-411a-8aa7-866a1ca34ad0" ] }, { "id" : "ITEM-3", "itemData" : { "DOI" : "10.1016/j.csr.2012.06.009", "ISSN" : "02784343", "abstract" : "A decade-long time series recorded in Central California demonstrates that a shallow, near-shore environment (17. m depth) is regularly inundated with pulses of cold, hypoxic and low-pH water. During these episodes, oxygen can drop to physiologically stressful levels, and pH can reach values that potentially result in dissolution of calcium carbonate. Pulses of the greatest intensity arose at the onset of the spring upwelling season, and fluctuations were strongly semidiurnal and diurnal. Arrival of cold, hypoxic water on the inner shelf appears to be driven by tidal-frequency internal waves pushing deep, upwelled water into nearshore habitats. We found no relationship between the timing of low-oxygen events and the diel solar cycle. These observations are consistent with the interpretation that hypoxic water is advected shoreward from the deep, offshore environment where water masses experience a general decline of temperature, oxygen and pH with depth. Analysis of the durations of exposure to low oxygen concentrations establishes a framework for assessing the ecological relevance of these events, but physiological tolerance limits to such hypoxic events are not well documented for most near-shore organisms expected to be impacted. ?? 2012 Elsevier Ltd.", "author" : [ { "dropping-particle" : "", "family" : "Booth", "given" : "J. Ashley T", "non-dropping-particle" : "", "parse-names" : false, "suffix" : "" }, { "dropping-particle" : "", "family" : "McPhee-Shaw", "given" : "Erika E.", "non-dropping-particle" : "", "parse-names" : false, "suffix" : "" }, { "dropping-particle" : "", "family" : "Chua", "given" : "Paul", "non-dropping-particle" : "", "parse-names" : false, "suffix" : "" }, { "dropping-particle" : "", "family" : "Kingsley", "given" : "Eric", "non-dropping-particle" : "", "parse-names" : false, "suffix" : "" }, { "dropping-particle" : "", "family" : "Denny", "given" : "Mark", "non-dropping-particle" : "", "parse-names" : false, "suffix" : "" }, { "dropping-particle" : "", "family" : "Phillips", "given" : "Roger", "non-dropping-particle" : "", "parse-names" : false, "suffix" : "" }, { "dropping-particle" : "", "family" : "Bograd", "given" : "Steven J.", "non-dropping-particle" : "", "parse-names" : false, "suffix" : "" }, { "dropping-particle" : "", "family" : "Zeidberg", "given" : "Louis D.", "non-dropping-particle" : "", "parse-names" : false, "suffix" : "" }, { "dropping-particle" : "", "family" : "Gilly", "given" : "William F.", "non-dropping-particle" : "", "parse-names" : false, "suffix" : "" } ], "container-title" : "Continental Shelf Research", "id" : "ITEM-3", "issued" : { "date-parts" : [ [ "2012" ] ] }, "note" : "Booth et al. 2012-CSR-Analysis of seawater intake time series from the MBA to understand O2, T, and pH dynamics\nTight coupling between O2, T, and pH w/o evidence for daily-scale processes-&amp;gt;advection as the dominant factor. Data set is 10-yrs of SW intake at the Monterey Bay Aquarium. 10-year overlay of O2 shows strong interannual variability with O2 frequently dropping below sublethal threshold of 4.6 mg/L between March and Sep, with occasional drops into lethal territory (&amp;lt;2 mg/L). Spectral analysis reveals significant peaks at the semi-diurnal (M2) and diurnal (K1) tidal periodicities. Variations in DO not timed to photoperiod-&amp;gt;physical processes, not respiration responsible for low O2 events. Low O2 events in shallow (&amp;lt;20m depth) demonstrate decoupling from atmosphere and dominance of stratification and advection in the coastal environment.", "page" : "108-115", "publisher" : "Elsevier", "title" : "Natural intrusions of hypoxic, low pH water into nearshore marine environments on the California coast", "type" : "article-journal", "volume" : "45" }, "uris" : [ "http://www.mendeley.com/documents/?uuid=0ada47ec-312f-44a7-884d-3ba08d9710c9" ] } ], "mendeley" : { "formattedCitation" : "(Booth et al., 2012; Frieder et al., 2012; Takeshita et al., 2015)", "plainTextFormattedCitation" : "(Booth et al., 2012; Frieder et al., 2012; Takeshita et al., 2015)", "previouslyFormattedCitation" : "(Booth et al., 2012; Frieder et al., 2012; Takeshita et al., 2015)" }, "properties" : { "noteIndex" : 0 }, "schema" : "https://github.com/citation-style-language/schema/raw/master/csl-citation.json" }</w:instrText>
      </w:r>
      <w:r>
        <w:fldChar w:fldCharType="separate"/>
      </w:r>
      <w:r w:rsidRPr="000447F9">
        <w:rPr>
          <w:noProof/>
        </w:rPr>
        <w:t>(Booth et al., 2012; Frieder et al., 2012; Takeshita et al., 2015)</w:t>
      </w:r>
      <w:r>
        <w:fldChar w:fldCharType="end"/>
      </w:r>
      <w:r>
        <w:t xml:space="preserve"> and frequent episodic hypoxia has been documented near our study site </w:t>
      </w:r>
      <w:r>
        <w:fldChar w:fldCharType="begin" w:fldLock="1"/>
      </w:r>
      <w:r>
        <w:instrText>ADDIN CSL_CITATION { "citationItems" : [ { "id" : "ITEM-1", "itemData" : { "DOI" : "10.1016/j.csr.2012.06.009", "ISSN" : "02784343", "abstract" : "A decade-long time series recorded in Central California demonstrates that a shallow, near-shore environment (17. m depth) is regularly inundated with pulses of cold, hypoxic and low-pH water. During these episodes, oxygen can drop to physiologically stressful levels, and pH can reach values that potentially result in dissolution of calcium carbonate. Pulses of the greatest intensity arose at the onset of the spring upwelling season, and fluctuations were strongly semidiurnal and diurnal. Arrival of cold, hypoxic water on the inner shelf appears to be driven by tidal-frequency internal waves pushing deep, upwelled water into nearshore habitats. We found no relationship between the timing of low-oxygen events and the diel solar cycle. These observations are consistent with the interpretation that hypoxic water is advected shoreward from the deep, offshore environment where water masses experience a general decline of temperature, oxygen and pH with depth. Analysis of the durations of exposure to low oxygen concentrations establishes a framework for assessing the ecological relevance of these events, but physiological tolerance limits to such hypoxic events are not well documented for most near-shore organisms expected to be impacted. ?? 2012 Elsevier Ltd.", "author" : [ { "dropping-particle" : "", "family" : "Booth", "given" : "J. Ashley T", "non-dropping-particle" : "", "parse-names" : false, "suffix" : "" }, { "dropping-particle" : "", "family" : "McPhee-Shaw", "given" : "Erika E.", "non-dropping-particle" : "", "parse-names" : false, "suffix" : "" }, { "dropping-particle" : "", "family" : "Chua", "given" : "Paul", "non-dropping-particle" : "", "parse-names" : false, "suffix" : "" }, { "dropping-particle" : "", "family" : "Kingsley", "given" : "Eric", "non-dropping-particle" : "", "parse-names" : false, "suffix" : "" }, { "dropping-particle" : "", "family" : "Denny", "given" : "Mark", "non-dropping-particle" : "", "parse-names" : false, "suffix" : "" }, { "dropping-particle" : "", "family" : "Phillips", "given" : "Roger", "non-dropping-particle" : "", "parse-names" : false, "suffix" : "" }, { "dropping-particle" : "", "family" : "Bograd", "given" : "Steven J.", "non-dropping-particle" : "", "parse-names" : false, "suffix" : "" }, { "dropping-particle" : "", "family" : "Zeidberg", "given" : "Louis D.", "non-dropping-particle" : "", "parse-names" : false, "suffix" : "" }, { "dropping-particle" : "", "family" : "Gilly", "given" : "William F.", "non-dropping-particle" : "", "parse-names" : false, "suffix" : "" } ], "container-title" : "Continental Shelf Research", "id" : "ITEM-1", "issued" : { "date-parts" : [ [ "2012" ] ] }, "note" : "Booth et al. 2012-CSR-Analysis of seawater intake time series from the MBA to understand O2, T, and pH dynamics\nTight coupling between O2, T, and pH w/o evidence for daily-scale processes-&amp;gt;advection as the dominant factor. Data set is 10-yrs of SW intake at the Monterey Bay Aquarium. 10-year overlay of O2 shows strong interannual variability with O2 frequently dropping below sublethal threshold of 4.6 mg/L between March and Sep, with occasional drops into lethal territory (&amp;lt;2 mg/L). Spectral analysis reveals significant peaks at the semi-diurnal (M2) and diurnal (K1) tidal periodicities. Variations in DO not timed to photoperiod-&amp;gt;physical processes, not respiration responsible for low O2 events. Low O2 events in shallow (&amp;lt;20m depth) demonstrate decoupling from atmosphere and dominance of stratification and advection in the coastal environment.", "page" : "108-115", "publisher" : "Elsevier", "title" : "Natural intrusions of hypoxic, low pH water into nearshore marine environments on the California coast", "type" : "article-journal", "volume" : "45" }, "uris" : [ "http://www.mendeley.com/documents/?uuid=0ada47ec-312f-44a7-884d-3ba08d9710c9" ] } ], "mendeley" : { "formattedCitation" : "(Booth et al., 2012)", "plainTextFormattedCitation" : "(Booth et al., 2012)", "previouslyFormattedCitation" : "(Booth et al., 2012)" }, "properties" : { "noteIndex" : 0 }, "schema" : "https://github.com/citation-style-language/schema/raw/master/csl-citation.json" }</w:instrText>
      </w:r>
      <w:r>
        <w:fldChar w:fldCharType="separate"/>
      </w:r>
      <w:r w:rsidRPr="000447F9">
        <w:rPr>
          <w:noProof/>
        </w:rPr>
        <w:t>(Booth et al., 2012)</w:t>
      </w:r>
      <w:r>
        <w:fldChar w:fldCharType="end"/>
      </w:r>
      <w:r>
        <w:t>. While a large component of this variation is naturally occurring along upwelling margins, low O</w:t>
      </w:r>
      <w:r>
        <w:rPr>
          <w:vertAlign w:val="subscript"/>
        </w:rPr>
        <w:t>2</w:t>
      </w:r>
      <w:r>
        <w:t>/high CO</w:t>
      </w:r>
      <w:r w:rsidRPr="005A4792">
        <w:rPr>
          <w:vertAlign w:val="subscript"/>
        </w:rPr>
        <w:t>2</w:t>
      </w:r>
      <w:r>
        <w:t xml:space="preserve"> events are predicted to increase in frequency in the future due to oxygen minimum zone expansion </w:t>
      </w:r>
      <w:r>
        <w:fldChar w:fldCharType="begin" w:fldLock="1"/>
      </w:r>
      <w:r>
        <w:instrText>ADDIN CSL_CITATION { "citationItems" : [ { "id" : "ITEM-1", "itemData" : { "DOI" : "10.1029/2008GL034185", "ISBN" : "0094-8276", "ISSN" : "00948276", "abstract" : "We use hydrographic data from the California Cooperative Oceanic Fisheries Investigations program to explore the spatial and temporal variability of dissolved oxygen (DO) in the southern California Current System (CCS) over the period 1984\u20132006. Large declines in DO (up to 2.1 mmol/kg/y) have been observed throughout the domain, with the largest relative DO declines occurring below the thermocline (mean decrease of 21% at 300 m). Linear trends were significant (p &lt; 0.05) at the majority of stations down to 500 m. The hypoxic boundary ($60 mmol/kg) has shoaled by up to 90 m within portions of the southern CCS. The observed trends are consistent with advection of low-DO waters into the region, as well as decreased vertical oxygen transport following near-surface warming and increased stratification. Expansion of the oxygen minimum layer could lead to cascading effects on benthic and pelagic ecosystems, including habitat compression and community reorganization.", "author" : [ { "dropping-particle" : "", "family" : "Bograd", "given" : "Steven J.", "non-dropping-particle" : "", "parse-names" : false, "suffix" : "" }, { "dropping-particle" : "", "family" : "Castro", "given" : "Carmen G.", "non-dropping-particle" : "", "parse-names" : false, "suffix" : "" }, { "dropping-particle" : "", "family" : "Lorenzo", "given" : "Emanuele", "non-dropping-particle" : "Di", "parse-names" : false, "suffix" : "" }, { "dropping-particle" : "", "family" : "Palacios", "given" : "Daniel M.", "non-dropping-particle" : "", "parse-names" : false, "suffix" : "" }, { "dropping-particle" : "", "family" : "Bailey", "given" : "Helen", "non-dropping-particle" : "", "parse-names" : false, "suffix" : "" }, { "dropping-particle" : "", "family" : "Gilly", "given" : "William", "non-dropping-particle" : "", "parse-names" : false, "suffix" : "" }, { "dropping-particle" : "", "family" : "Chavez", "given" : "Francisco P.", "non-dropping-particle" : "", "parse-names" : false, "suffix" : "" } ], "container-title" : "Geophysical Research Letters", "id" : "ITEM-1", "issue" : "12", "issued" : { "date-parts" : [ [ "2008" ] ] }, "note" : "Bograd et al. 2008-GRL-Declines in DO in the SCB using CalCOFI data\n\nLargest DO declines in the upper 100m of the SCB. Smaller, but still significant declines in DO, in water depths of 400-500 meters. Larger absolute declines in surface waters (50-100 m depth), but larger relative declines in DO at depth (400-500m).", "page" : "1-6", "title" : "Oxygen declines and the shoaling of the hypoxic boundary in the California Current", "type" : "article-journal", "volume" : "35" }, "uris" : [ "http://www.mendeley.com/documents/?uuid=1d10cec2-080d-421f-b1ec-1410b68b83a9" ] }, { "id" : "ITEM-2", "itemData" : { "DOI" : "10.4319/lo.2014.59.4.0000", "ISSN" : "00243590", "abstract" : "Here we examine a 50+ yr data set from a regionally coordinated southern California water quality monitoring program to assess temporal trends and determine whether nearshore waters are exhibiting changes in dissolved oxygen (DO) content similar to those reported offshore. DO in sub\u2013mixed-layer nearshore waters (, 10 km from shore) have declined up to four times faster than reported for offshore waters over the last 15 yr. These trends were evident over depth, and along isopycnals. They have no precedent over the past 50 yr and do not appear to be attributable primarily to large-scale climate variability in ocean DO. Coastal biophysical processes, including increased phytoplankton biomass in surface waters, are likely contributing to the recent elevated rate of DO decline in nearshore waters, as evidenced by higher rates of increase in apparent oxygen utilization. It is unclear whether these processes result from upwelling-derived or anthropogenic nutrient inputs", "author" : [ { "dropping-particle" : "", "family" : "Booth", "given" : "J. Ashley T", "non-dropping-particle" : "", "parse-names" : false, "suffix" : "" }, { "dropping-particle" : "", "family" : "Woodson", "given" : "C B", "non-dropping-particle" : "", "parse-names" : false, "suffix" : "" }, { "dropping-particle" : "", "family" : "Sutula", "given" : "M", "non-dropping-particle" : "", "parse-names" : false, "suffix" : "" }, { "dropping-particle" : "", "family" : "Micheli", "given" : "F", "non-dropping-particle" : "", "parse-names" : false, "suffix" : "" }, { "dropping-particle" : "", "family" : "Weisberg", "given" : "S B", "non-dropping-particle" : "", "parse-names" : false, "suffix" : "" }, { "dropping-particle" : "", "family" : "Bograd", "given" : "Steven J.", "non-dropping-particle" : "", "parse-names" : false, "suffix" : "" }, { "dropping-particle" : "", "family" : "Steele", "given" : "A", "non-dropping-particle" : "", "parse-names" : false, "suffix" : "" }, { "dropping-particle" : "", "family" : "Schoen", "given" : "J", "non-dropping-particle" : "", "parse-names" : false, "suffix" : "" }, { "dropping-particle" : "", "family" : "Crowder", "given" : "L B", "non-dropping-particle" : "", "parse-names" : false, "suffix" : "" } ], "container-title" : "Limnology and Oceanography", "id" : "ITEM-2", "issue" : "4", "issued" : { "date-parts" : [ [ "2014" ] ] }, "note" : "Booth et al. 2014-L&amp;amp;O-patterns and mechanisms behind declining nearshore O2 in southern CA\n\nStudy questions: 1) Is DO on the continental shelf of CA changing? Is the change consistent across the southern CA Bight? 2) Are the trends consistent with CALCOFI observations from deeper waters? 3) If not, what else could be causing DO trends?\n\nAggregate DO records show sharp decline in O2 from 1998 onwards at both 15m and 42 m depth. DO decrease in nearshore has been faster than DO decrease offshore.\n\nDO decline not due to natural climate variability alone. Potential reasons-1. increased stratification&amp;gt;increased wind stress 2. shoaling of Chl. a maximum.\n\nWWTF-sourced nutrients unlikely the source for enhanced DO depletion as facilities have upgraded in the last few decades. If facilities were responsible, would have seen max DO declines in the 1960s and 1970s.", "page" : "1127-1138", "title" : "Patterns and potential drivers of declining oxygen content along the southern California coast", "type" : "article-journal", "volume" : "59" }, "uris" : [ "http://www.mendeley.com/documents/?uuid=c285d93d-6cfc-4e2f-a9de-9aa8e0de0a8c" ] }, { "id" : "ITEM-3", "itemData" : { "DOI" : "10.1016/j.dsr.2010.01.005", "ISBN" : "0967-0637", "ISSN" : "09670637", "abstract" : "Climate models with biogeochemical components predict declines in oceanic dissolved oxygen with global warming. In coastal regimes oxygen deficits represent acute ecosystem perturbations. Here, we estimate dissolved oxygen differences across the global tropical and subtropical oceans within the oxygen minimum zone (200-700-dbar depth) between 1960-1974 (an early period with reliable data) and 1990-2008 (a recent period capturing ocean response to planetary warming). In most regions of the tropical Pacific, Atlantic, and Indian Oceans the oxygen content in the 200-700-dbar layer has declined. Furthermore, at 200 dbar, the area with O\n                        2 &lt;70 ??mol kg\n                        -1, where some large mobile macro-organisms are unable to abide, has increased by 4.5 million km\n                        2. The tropical low oxygen zones have expanded horizontally and vertically. Subsurface oxygen has decreased adjacent to most continental shelves. However, oxygen has increased in some regions in the subtropical gyres at the depths analyzed. According to literature discussed below, fishing pressure is strong in the open ocean, which may make it difficult to isolate the impact of declining oxygen on fisheries. At shallower depths we predict habitat compression will occur for hypoxia-intolerant taxa, with eventual loss of biodiversity. Should past trends in observed oxygen differences continue into the future, shifts in animal distributions and changes in ecosystem structure could accelerate. ?? 2010 Elsevier Ltd.", "author" : [ { "dropping-particle" : "", "family" : "Stramma", "given" : "Lothar", "non-dropping-particle" : "", "parse-names" : false, "suffix" : "" }, { "dropping-particle" : "", "family" : "Schmidtko", "given" : "Sunke", "non-dropping-particle" : "", "parse-names" : false, "suffix" : "" }, { "dropping-particle" : "", "family" : "Levin", "given" : "Lisa A.", "non-dropping-particle" : "", "parse-names" : false, "suffix" : "" }, { "dropping-particle" : "", "family" : "Johnson", "given" : "Gregory C.", "non-dropping-particle" : "", "parse-names" : false, "suffix" : "" } ], "container-title" : "Deep-Sea Research Part I: Oceanographic Research Papers", "id" : "ITEM-3", "issue" : "4", "issued" : { "date-parts" : [ [ "2010" ] ] }, "note" : "Stramma et al. 2010-DSR I-Global expansion of OMZs\n\nGlobal maps of changes in DO. Depeletions throughout much of the Pacific with varying degrees of confidence. Model simulations attributed declines in DO to decreased surface solubility with warming.", "page" : "587-595", "publisher" : "Elsevier", "title" : "Ocean oxygen minima expansions and their biological impacts", "type" : "article-journal", "volume" : "57" }, "uris" : [ "http://www.mendeley.com/documents/?uuid=a47fa2f7-a5b0-4478-bfda-2cbcaa5eed67" ] } ], "mendeley" : { "formattedCitation" : "(Bograd et al., 2008; Booth et al., 2014; Stramma et al., 2010)", "plainTextFormattedCitation" : "(Bograd et al., 2008; Booth et al., 2014; Stramma et al., 2010)", "previouslyFormattedCitation" : "(Bograd et al., 2008; Booth et al., 2014; Stramma et al., 2010)" }, "properties" : { "noteIndex" : 0 }, "schema" : "https://github.com/citation-style-language/schema/raw/master/csl-citation.json" }</w:instrText>
      </w:r>
      <w:r>
        <w:fldChar w:fldCharType="separate"/>
      </w:r>
      <w:r w:rsidRPr="000447F9">
        <w:rPr>
          <w:noProof/>
        </w:rPr>
        <w:t>(Bograd et al., 2008; Booth et al., 2014; Stramma et al., 2010)</w:t>
      </w:r>
      <w:r>
        <w:fldChar w:fldCharType="end"/>
      </w:r>
      <w:r>
        <w:t xml:space="preserve"> and increases in upwelling </w:t>
      </w:r>
      <w:proofErr w:type="spellStart"/>
      <w:r>
        <w:t>favorable</w:t>
      </w:r>
      <w:proofErr w:type="spellEnd"/>
      <w:r>
        <w:t xml:space="preserve"> winds </w:t>
      </w:r>
      <w:r>
        <w:fldChar w:fldCharType="begin" w:fldLock="1"/>
      </w:r>
      <w:r>
        <w:instrText>ADDIN CSL_CITATION { "citationItems" : [ { "id" : "ITEM-1", "itemData" : { "DOI" : "10.1126/science.247.4939.198", "ISBN" : "0036-8075", "ISSN" : "0036-8075", "PMID" : "17813287", "abstract" : "A mechanism exists whereby global greenhouse warning could, by intensifying the alongshore wind stress on the ocean surface, lead to acceleration of coastal upwelling. Evidence from several different regions suggests that the major coastal upwelling systems of the world have been growing in upwelling intensity as greenhouse gases have accumulated in the earth's atmosphere. Thus the cool foggy summer conditions that typify the coastlands of northern California and other similar upwelling regions might, under global warming, become even more pronounced. Effects of enhanced upwelling on the marine ecosystem are uncertain but potentially dramatic.", "author" : [ { "dropping-particle" : "", "family" : "Bakun", "given" : "A", "non-dropping-particle" : "", "parse-names" : false, "suffix" : "" } ], "container-title" : "Science", "id" : "ITEM-1", "issue" : "4939", "issued" : { "date-parts" : [ [ "1990" ] ] }, "page" : "198-201", "title" : "Global climate change and intensification of coastal ocean upwelling", "type" : "article-journal", "volume" : "247" }, "uris" : [ "http://www.mendeley.com/documents/?uuid=5889f039-4f33-497e-9eeb-cd21b970f00d" ] }, { "id" : "ITEM-2", "itemData" : { "DOI" : "10.1126/science.1251635", "author" : [ { "dropping-particle" : "", "family" : "Sydeman", "given" : "William J.", "non-dropping-particle" : "", "parse-names" : false, "suffix" : "" }, { "dropping-particle" : "", "family" : "Garcia-Reyes", "given" : "M.", "non-dropping-particle" : "", "parse-names" : false, "suffix" : "" }, { "dropping-particle" : "", "family" : "Schoeman", "given" : "David S.", "non-dropping-particle" : "", "parse-names" : false, "suffix" : "" }, { "dropping-particle" : "", "family" : "Rykaczewski", "given" : "R. R.", "non-dropping-particle" : "", "parse-names" : false, "suffix" : "" }, { "dropping-particle" : "", "family" : "Thompson", "given" : "Sarah Ann", "non-dropping-particle" : "", "parse-names" : false, "suffix" : "" }, { "dropping-particle" : "", "family" : "Black", "given" : "Bryan A", "non-dropping-particle" : "", "parse-names" : false, "suffix" : "" }, { "dropping-particle" : "", "family" : "Bograd", "given" : "S.J.", "non-dropping-particle" : "", "parse-names" : false, "suffix" : "" } ], "container-title" : "Science", "id" : "ITEM-2", "issue" : "6192", "issued" : { "date-parts" : [ [ "2014" ] ] }, "note" : "Sydeman et al. 2014-Science-The Bakun hypothesis: upwelling intensification in eastern boundary systems with climate change \n\u00a0\u00a0\u00a0\u00a0\u00a0\u00a0\u00a0\u00a0\u00a0\u00a0\u00a0 Bakun hypothesis: increased temperature and SLP gradients between land and water under climate change will enhance alongshore winds-&amp;gt;intensified upwelling during warm season. Authors performed meta-analysis (22 studies from 1990-2012) to test whether wind-driven upwelling has intensified over the last 60 years. Evidence for enhanced warm season upwelling in California, Benguela, and Humboldt currents. Ability to detect intensified upwelling dependent on data type studied, with observations generally yielding the greatest ability to detect upwelling changes. When looking at annualized data, no evidence for stronger upwelling, but Bakun\u2019s hypothesis was specific to the warm season in each hemisphere.", "page" : "77-80", "title" : "Climate change and wind intensification in coastal upwelling ecosystems", "type" : "article-journal", "volume" : "345" }, "uris" : [ "http://www.mendeley.com/documents/?uuid=6a7aac70-6989-4930-ab40-e982209d636a" ] } ], "mendeley" : { "formattedCitation" : "(Bakun, 1990; Sydeman et al., 2014)", "plainTextFormattedCitation" : "(Bakun, 1990; Sydeman et al., 2014)", "previouslyFormattedCitation" : "(Bakun, 1990; Sydeman et al., 2014)" }, "properties" : { "noteIndex" : 0 }, "schema" : "https://github.com/citation-style-language/schema/raw/master/csl-citation.json" }</w:instrText>
      </w:r>
      <w:r>
        <w:fldChar w:fldCharType="separate"/>
      </w:r>
      <w:r w:rsidRPr="000447F9">
        <w:rPr>
          <w:noProof/>
        </w:rPr>
        <w:t>(Bakun, 1990; Sydeman et al., 2014)</w:t>
      </w:r>
      <w:r>
        <w:fldChar w:fldCharType="end"/>
      </w:r>
      <w:r>
        <w:t>. Understanding the co-variation, or lack thereof, between critical environmental parameters (e.g., temperature, CO</w:t>
      </w:r>
      <w:r w:rsidRPr="002A7B61">
        <w:rPr>
          <w:vertAlign w:val="subscript"/>
        </w:rPr>
        <w:t>2</w:t>
      </w:r>
      <w:r>
        <w:t xml:space="preserve"> system variables, and O</w:t>
      </w:r>
      <w:r w:rsidRPr="000C779B">
        <w:rPr>
          <w:vertAlign w:val="subscript"/>
        </w:rPr>
        <w:t>2</w:t>
      </w:r>
      <w:r>
        <w:t xml:space="preserve">) through long-term spatially expansive measurements is necessary to define the range and timescales of environmental conditions experienced by kelp forest inhabitants. Quantifying these environmental conditions can inform the design of more realistic laboratory </w:t>
      </w:r>
      <w:r>
        <w:lastRenderedPageBreak/>
        <w:t xml:space="preserve">experiments, featuring proper ranges and timescales of biogeochemical and thermal variability as opposed to </w:t>
      </w:r>
      <w:proofErr w:type="spellStart"/>
      <w:r>
        <w:t>chemostatic</w:t>
      </w:r>
      <w:proofErr w:type="spellEnd"/>
      <w:r>
        <w:t xml:space="preserve"> conditions </w:t>
      </w:r>
      <w:r>
        <w:fldChar w:fldCharType="begin" w:fldLock="1"/>
      </w:r>
      <w:r>
        <w:instrText>ADDIN CSL_CITATION { "citationItems" : [ { "id" : "ITEM-1", "itemData" : { "DOI" : "10.1093/icesjms/fst176", "ISBN" : "1206616369", "author" : [ { "dropping-particle" : "", "family" : "Reum", "given" : "Jonathan C.", "non-dropping-particle" : "", "parse-names" : false, "suffix" : "" }, { "dropping-particle" : "", "family" : "Alin", "given" : "Simone R.", "non-dropping-particle" : "", "parse-names" : false, "suffix" : "" }, { "dropping-particle" : "", "family" : "Harvey", "given" : "Chris J.", "non-dropping-particle" : "", "parse-names" : false, "suffix" : "" }, { "dropping-particle" : "", "family" : "Bednar\u0161ek", "given" : "N", "non-dropping-particle" : "", "parse-names" : false, "suffix" : "" }, { "dropping-particle" : "", "family" : "Evans", "given" : "Wiley", "non-dropping-particle" : "", "parse-names" : false, "suffix" : "" }, { "dropping-particle" : "", "family" : "Feely", "given" : "Richard A.", "non-dropping-particle" : "", "parse-names" : false, "suffix" : "" }, { "dropping-particle" : "", "family" : "Hales", "given" : "Burke", "non-dropping-particle" : "", "parse-names" : false, "suffix" : "" }, { "dropping-particle" : "", "family" : "Lucey", "given" : "Noelle", "non-dropping-particle" : "", "parse-names" : false, "suffix" : "" }, { "dropping-particle" : "", "family" : "Mathis", "given" : "Jeremy T.", "non-dropping-particle" : "", "parse-names" : false, "suffix" : "" }, { "dropping-particle" : "", "family" : "McElhany", "given" : "Paul", "non-dropping-particle" : "", "parse-names" : false, "suffix" : "" }, { "dropping-particle" : "", "family" : "Newton", "given" : "Jan", "non-dropping-particle" : "", "parse-names" : false, "suffix" : "" }, { "dropping-particle" : "", "family" : "Sabine", "given" : "Christopher L.", "non-dropping-particle" : "", "parse-names" : false, "suffix" : "" } ], "container-title" : "ICES Journal of Marine Science", "id" : "ITEM-1", "issued" : { "date-parts" : [ [ "2015" ] ] }, "note" : "Reum et al. 2015-ICES J. Mar. Sci.- designing OA experiments to incorporate natural CO2 variability along with co-variable O2 and temperature.\nDifferent pCO2-T relationships in summer and winter along the CCE (strongly negative in summer, no relationship in winter). Negative pCO2-O2 relationship pretty consistent across mooring and survey ship data along the CCE. Same slope, but elevated intercept to the pCO2-O2 data from Puget Sound. Most experiment fell within the pCO2 and T ranges found to vary naturally along the CCE, with some exceptions at high T. Discussion of pros and cons of crossed experiment design vs. design informed by in-situ natural variability in pCO2 and T. Authors recommend studies include multiple controls which span the pCO2-T ranges likely to be experienced by the organism. These controls would set the basis for OA-only, GW-only, or OA+GW manipulative studies.", "page" : "1-14", "title" : "Interpretation and design of ocean acidification experiments in upwelling systems in the context of carbonate chemistry co-variation with temperature and oxygen", "type" : "article-journal" }, "uris" : [ "http://www.mendeley.com/documents/?uuid=8a37d417-7c7e-4c23-b2b0-872b47af9a4f" ] } ], "mendeley" : { "formattedCitation" : "(Reum et al., 2015)", "plainTextFormattedCitation" : "(Reum et al., 2015)", "previouslyFormattedCitation" : "(Reum et al., 2015)" }, "properties" : { "noteIndex" : 0 }, "schema" : "https://github.com/citation-style-language/schema/raw/master/csl-citation.json" }</w:instrText>
      </w:r>
      <w:r>
        <w:fldChar w:fldCharType="separate"/>
      </w:r>
      <w:r w:rsidRPr="000447F9">
        <w:rPr>
          <w:noProof/>
        </w:rPr>
        <w:t>(Reum et al., 2015)</w:t>
      </w:r>
      <w:r>
        <w:fldChar w:fldCharType="end"/>
      </w:r>
      <w:r>
        <w:t xml:space="preserve">. More realistic experimental conditions will yield additional insights into organismal and community response to climate change and OA. </w:t>
      </w:r>
    </w:p>
    <w:p w14:paraId="34C157C6" w14:textId="2B6D9819" w:rsidR="00005E12" w:rsidRDefault="00005E12" w:rsidP="00005E12">
      <w:r>
        <w:tab/>
        <w:t xml:space="preserve">Our data demonstrate that, despite the strong influence of physical processes, primary production can alter local biogeochemistry. Understanding the role of foundation species, such as giant kelp, in creating biogeochemical </w:t>
      </w:r>
      <w:proofErr w:type="spellStart"/>
      <w:r>
        <w:t>refugia</w:t>
      </w:r>
      <w:proofErr w:type="spellEnd"/>
      <w:r>
        <w:t xml:space="preserve"> both through metabolic activity and alteration of the hydrodynamic regime within the kelp forest via increased residence time </w:t>
      </w:r>
      <w:r>
        <w:fldChar w:fldCharType="begin" w:fldLock="1"/>
      </w:r>
      <w:r>
        <w:instrText>ADDIN CSL_CITATION { "citationItems" : [ { "id" : "ITEM-1", "itemData" : { "DOI" : "10.1029/2005JC003430", "ISBN" : "0148-0227", "ISSN" : "21699291", "abstract" : "Macrocystis pyrifera (Giant Kelp) forests form important habitats in temperate coastal regions. Hydrodynamics control the transport of nutrients, food particles, larvae and spores at scales ranging from boundary layers around individual blades to entire kelp forests. Our measurements include vertical profiles of current and temperature, and concurrent wave measurements, at a number of different locations in and around a kelp forest at Santa Cruz, California. We find that flow at the site is dominated by variations at diurnal and semidiurnal frequencies. A vertically sheared across-shore flow, consistent with flow driven by an across-shore density gradient, is thought to be important for exchange between the kelp forest and the surrounding coastal ocean. Within the kelp forest, currents are reduced by a factor that correlates with surface canopy coverage, higher frequency internal waves are damped, and onshore transport due to waves (Stokes drift) is estimated to be similar in magnitude to that due to currents. Richardson numbers within the kelp forest are higher than those outside the kelp forest and indicate that the water column within the kelp forest is usually stable to turbulence generation by mean velocity shear. Citation:", "author" : [ { "dropping-particle" : "", "family" : "Rosman", "given" : "Johanna H.", "non-dropping-particle" : "", "parse-names" : false, "suffix" : "" }, { "dropping-particle" : "", "family" : "Koseff", "given" : "Jeffrey R.", "non-dropping-particle" : "", "parse-names" : false, "suffix" : "" }, { "dropping-particle" : "", "family" : "Monismith", "given" : "Stephen G.", "non-dropping-particle" : "", "parse-names" : false, "suffix" : "" }, { "dropping-particle" : "", "family" : "Grover", "given" : "Jamie", "non-dropping-particle" : "", "parse-names" : false, "suffix" : "" } ], "container-title" : "Journal of Geophysical Research: Oceans", "id" : "ITEM-1", "issue" : "2", "issued" : { "date-parts" : [ [ "2007" ] ] }, "note" : "Rosman et al. 2007-L&amp;amp;O-hydrodynamics of a kelp forest in Santa Cruz, CA\nKelp forest capable of greatly reducing velocity variability within the kelp frest, especially in the alongshore direction-alongshore velocity reduction factor of 4-5 and cross-shore velocity reduction factors of 2.5-3.5. Velocity reduction factors are a function of surface canopy coverage. Calculated Richardson number: Ri=N^2/S^2 where N is the buoyancy frequency and S is the velocity shear. Ri&amp;gt;0.25 indicate stratification is strong enough to suppress turbulence. Ri&amp;gt;0.25 much more frequently in the kelp forest than outside the kelp forest (where Ri increased due to velocity shear at benthic and surface boundary layers)-&amp;gt;kelp suppress turbulent mixing.", "page" : "1-16", "title" : "A field investigation into the effects of a kelp forest (Macrocystis pyrifera) on coastal hydrodynamics and transport", "type" : "article-journal", "volume" : "112" }, "uris" : [ "http://www.mendeley.com/documents/?uuid=539af35c-1d80-41b6-99e2-cce0a4147e8d" ] } ], "mendeley" : { "formattedCitation" : "(Rosman et al., 2007)", "plainTextFormattedCitation" : "(Rosman et al., 2007)", "previouslyFormattedCitation" : "(Rosman et al., 2007)" }, "properties" : { "noteIndex" : 0 }, "schema" : "https://github.com/citation-style-language/schema/raw/master/csl-citation.json" }</w:instrText>
      </w:r>
      <w:r>
        <w:fldChar w:fldCharType="separate"/>
      </w:r>
      <w:r w:rsidRPr="000447F9">
        <w:rPr>
          <w:noProof/>
        </w:rPr>
        <w:t>(Rosman et al., 2007)</w:t>
      </w:r>
      <w:r>
        <w:fldChar w:fldCharType="end"/>
      </w:r>
      <w:r>
        <w:t xml:space="preserve"> warrants further attention in an </w:t>
      </w:r>
      <w:r w:rsidR="00326E63">
        <w:t>acidifying</w:t>
      </w:r>
      <w:r>
        <w:t xml:space="preserve"> ocean, as they present potential to mitigate some stress effects of low O</w:t>
      </w:r>
      <w:r w:rsidRPr="007412C8">
        <w:rPr>
          <w:vertAlign w:val="subscript"/>
        </w:rPr>
        <w:t>2</w:t>
      </w:r>
      <w:r>
        <w:t>, high CO</w:t>
      </w:r>
      <w:r w:rsidRPr="00DC4856">
        <w:rPr>
          <w:vertAlign w:val="subscript"/>
        </w:rPr>
        <w:t>2</w:t>
      </w:r>
      <w:r>
        <w:t xml:space="preserve"> water. The combination of physical and biological processes may create natural </w:t>
      </w:r>
      <w:proofErr w:type="spellStart"/>
      <w:r>
        <w:t>refugia</w:t>
      </w:r>
      <w:proofErr w:type="spellEnd"/>
      <w:r>
        <w:t xml:space="preserve"> for certain sensitive organisms or, conversely, create particularly stressful conditions for others. Organisms that can confine themselves to the upper water column may be able to use the locally created biogeochemical refuge to avoid </w:t>
      </w:r>
      <w:r w:rsidR="00326E63">
        <w:t>low pH</w:t>
      </w:r>
      <w:r>
        <w:t>, whereas organisms that must use the entire water column will experience large ranges in carbonate chemistry (pH, pCO</w:t>
      </w:r>
      <w:r w:rsidRPr="004C1536">
        <w:rPr>
          <w:vertAlign w:val="subscript"/>
        </w:rPr>
        <w:t>2</w:t>
      </w:r>
      <w:r>
        <w:t xml:space="preserve">, and </w:t>
      </w:r>
      <w:r w:rsidRPr="002468E8">
        <w:t>Ω</w:t>
      </w:r>
      <w:r>
        <w:rPr>
          <w:vertAlign w:val="subscript"/>
        </w:rPr>
        <w:t>Ar</w:t>
      </w:r>
      <w:r>
        <w:t xml:space="preserve">) that will only grow larger with continued acidification. </w:t>
      </w:r>
    </w:p>
    <w:p w14:paraId="7851275C" w14:textId="2670C71B" w:rsidR="00005E12" w:rsidRDefault="00005E12" w:rsidP="00005E12">
      <w:r>
        <w:tab/>
        <w:t xml:space="preserve">In order to effectively manage critical coastal ecosystems in the face of climate change and OA, resource managers require both monitoring data and a process-based understanding of biogeochemical variability in order to identify changing environmental conditions and forecast ecosystem responses in kelp forests </w:t>
      </w:r>
      <w:r>
        <w:fldChar w:fldCharType="begin" w:fldLock="1"/>
      </w:r>
      <w:r>
        <w:instrText>ADDIN CSL_CITATION { "citationItems" : [ { "id" : "ITEM-1", "itemData" : { "author" : [ { "dropping-particle" : "", "family" : "Boehm", "given" : "A.B.", "non-dropping-particle" : "", "parse-names" : false, "suffix" : "" }, { "dropping-particle" : "", "family" : "Jacobson", "given" : "M.Z.", "non-dropping-particle" : "", "parse-names" : false, "suffix" : "" }, { "dropping-particle" : "", "family" : "O'Donnell", "given" : "Michael J.", "non-dropping-particle" : "", "parse-names" : false, "suffix" : "" }, { "dropping-particle" : "", "family" : "Sutula", "given" : "M.", "non-dropping-particle" : "", "parse-names" : false, "suffix" : "" }, { "dropping-particle" : "", "family" : "Wakefield", "given" : "W.W.", "non-dropping-particle" : "", "parse-names" : false, "suffix" : "" }, { "dropping-particle" : "", "family" : "Weisberg", "given" : "Stephen B.", "non-dropping-particle" : "", "parse-names" : false, "suffix" : "" }, { "dropping-particle" : "", "family" : "Whiteman", "given" : "E.", "non-dropping-particle" : "", "parse-names" : false, "suffix" : "" } ], "container-title" : "Oceanography", "id" : "ITEM-1", "issue" : "2", "issued" : { "date-parts" : [ [ "2015" ] ] }, "note" : "Boehm et al. 2015-Oceanography-Identification of science needs by NA west coast managers to address local effects of OA\n\nScience could be advanced to meet water quality manager needs through: development of more appropriate water quality standards-both the parameter and the threshold. All west coast states + BC currently use pH as a water quality standard. After establishing water quality standards, must establish permits for discharge that will meet water quality standards. Must develop models and that predict and quanitfy nutrient and OM discharge on pH dynamics and ranges. Models should be coupled physical-biogeochemical in order to model dilution and transport as well as biological transformations of discharges. Marine living resource managers aimed at trying to understand the impacts of OA on existing decision processes, rather than tyring to regulate water quality. Need to model OA impacts on fish organism and population dynamics. Coastal zone land managers benefit from models which predict where is most vulnerable to OA, where contributes most to local OA, and whether there are any cost-effective restoration and mitigation measures. Physical-biogeochemical models at land-sea interface useful not only for predicting hotsports, but also for scenario analysis. Ultimately all resource managers share a few common needs: 1) comprehensive monitoring 2) coastal mechanistic, process-based models that operate at relevant spatial and temporal scales to assess whether proposed actions will have desired effects 3) understanding which coastal areas are most or least vulnerable to OA", "page" : "170-181", "title" : "Ocean acidification science needs for natural resource managers of the North American west coast", "type" : "article-journal", "volume" : "28" }, "uris" : [ "http://www.mendeley.com/documents/?uuid=b46e87bf-1a9c-4c3a-bf12-e936e6ae9599" ] } ], "mendeley" : { "formattedCitation" : "(Boehm et al., 2015)", "plainTextFormattedCitation" : "(Boehm et al., 2015)", "previouslyFormattedCitation" : "(Boehm et al., 2015)" }, "properties" : { "noteIndex" : 0 }, "schema" : "https://github.com/citation-style-language/schema/raw/master/csl-citation.json" }</w:instrText>
      </w:r>
      <w:r>
        <w:fldChar w:fldCharType="separate"/>
      </w:r>
      <w:r w:rsidRPr="000447F9">
        <w:rPr>
          <w:noProof/>
        </w:rPr>
        <w:t>(Boehm et al., 2015)</w:t>
      </w:r>
      <w:r>
        <w:fldChar w:fldCharType="end"/>
      </w:r>
      <w:r>
        <w:t xml:space="preserve">. Such understanding is currently lacking. Along the US west coast, states currently use decades-old water quality criteria for assessing pH, including that the pH should not drop below 6.5 and/or that it should not deviate more than 0.2 units from natural conditions </w:t>
      </w:r>
      <w:r>
        <w:fldChar w:fldCharType="begin" w:fldLock="1"/>
      </w:r>
      <w:r>
        <w:instrText>ADDIN CSL_CITATION { "citationItems" : [ { "id" : "ITEM-1", "itemData" : { "DOI" : "10.1016/j.ocecoaman.2016.03.010", "ISSN" : "09645691", "author" : [ { "dropping-particle" : "", "family" : "Weisberg", "given" : "Stephen B.", "non-dropping-particle" : "", "parse-names" : false, "suffix" : "" }, { "dropping-particle" : "", "family" : "Bednar\u0161ek", "given" : "Nina", "non-dropping-particle" : "", "parse-names" : false, "suffix" : "" }, { "dropping-particle" : "", "family" : "Feely", "given" : "Richard A.", "non-dropping-particle" : "", "parse-names" : false, "suffix" : "" }, { "dropping-particle" : "", "family" : "Chan", "given" : "Francis", "non-dropping-particle" : "", "parse-names" : false, "suffix" : "" }, { "dropping-particle" : "", "family" : "Boehm", "given" : "Alexandria B.", "non-dropping-particle" : "", "parse-names" : false, "suffix" : "" }, { "dropping-particle" : "", "family" : "Sutula", "given" : "Martha", "non-dropping-particle" : "", "parse-names" : false, "suffix" : "" }, { "dropping-particle" : "", "family" : "Ruesink", "given" : "Jennifer L.", "non-dropping-particle" : "", "parse-names" : false, "suffix" : "" }, { "dropping-particle" : "", "family" : "Hales", "given" : "Burke", "non-dropping-particle" : "", "parse-names" : false, "suffix" : "" }, { "dropping-particle" : "", "family" : "Largier", "given" : "John L.", "non-dropping-particle" : "", "parse-names" : false, "suffix" : "" }, { "dropping-particle" : "", "family" : "Newton", "given" : "Jan A.", "non-dropping-particle" : "", "parse-names" : false, "suffix" : "" } ], "container-title" : "Ocean &amp; Coastal Management", "id" : "ITEM-1", "issued" : { "date-parts" : [ [ "2016" ] ] }, "note" : "Weisberg et al. 2016-Ocean and Coastal Management-coastal water acidification regulations\n\nRuling of impaired water body-&amp;gt;listing on Clean Water Act Sec 303(d) listing of impaired water body-&amp;gt;TMDL process to limit discharges in order to improve water quality. \n\nCenter for Biological Diversity asked EPA to list OA-impacted waters as impaired under CWA 303(d). EPA responded by indicating that states should list waters impacted by OA under their 303(d) listings. Paper goal is to examine the approaches to 303(d) assessments for OA-affected waters. Two types of water quality criteria: numeric pH standards and narrative biological criteria. \n\nWest coast states (WA, OR, CA) have largely adoped the EPA's 1976 pH criteria: 6.5-8.5 and not more than 0.2 unit deviation from &amp;quot;natural'. Each state has modified these criteria slightly. \n\nStates also have narrative aquatic life criteria, including CA, which allow for water quality assessments based on the water's biological community. \n\nHistorical pH precision and accuracy are issues in establishing 303(d) impairment. Records frequently not long enough or accurate enough to establish upper and lower bounds pH criteria. Short-term records also not long enought to capture interannual/decadal trends and to separate these from anthropogenic influences. \n\nConsiderations for establishing aquatic life 303(d) impairment:\n1. Demonstrate population-level effects on native biota-can be population declines and/or changes in size structure, etc...\n2. Must connect population-level effects to an OA stressor, but does not necessarily need to be pH. \n3. Species must be ecologically important (vague)-easiest for managers if species is also economically important and/or threatened\n\nIMPT: supporting data for 303(d) decisions MUST be collected in state waters. \n\nChallenges of 303(d) impairments listings highlighted and discussed using case studies of pteropods and Pacific oysters.\n\nNeed better models to support TMDL decisions after 303(d) impairment-models not currently scaled to the spatial and temporal resolution necessary for management decisions. Need better validated models, and models that link to ecosystem effects.", "page" : "31-41", "title" : "Water quality criteria for an acidifying ocean: Challenges and opportunities for improvement", "type" : "article-journal", "volume" : "126" }, "uris" : [ "http://www.mendeley.com/documents/?uuid=807b5386-bbb9-434d-8006-cde69887be0a" ] } ], "mendeley" : { "formattedCitation" : "(Weisberg et al., 2016)", "plainTextFormattedCitation" : "(Weisberg et al., 2016)", "previouslyFormattedCitation" : "(Weisberg et al., 2016)" }, "properties" : { "noteIndex" : 0 }, "schema" : "https://github.com/citation-style-language/schema/raw/master/csl-citation.json" }</w:instrText>
      </w:r>
      <w:r>
        <w:fldChar w:fldCharType="separate"/>
      </w:r>
      <w:r w:rsidRPr="000447F9">
        <w:rPr>
          <w:noProof/>
        </w:rPr>
        <w:t>(Weisberg et al., 2016)</w:t>
      </w:r>
      <w:r>
        <w:fldChar w:fldCharType="end"/>
      </w:r>
      <w:r>
        <w:t xml:space="preserve">. Yet we have demonstrated changes up to 0.5 pH units within a single kelp forest in just 15 meters depth. Additional observational studies may prove useful in helping us refine our understanding of coastal water quality away from static indicators and towards a more dynamic understanding of the ranges and controls on coastal water quality in order to better differentiate natural and anthropogenic effects, as has been demonstrated for dissolved oxygen </w:t>
      </w:r>
      <w:r>
        <w:fldChar w:fldCharType="begin" w:fldLock="1"/>
      </w:r>
      <w:r>
        <w:instrText>ADDIN CSL_CITATION { "citationItems" : [ { "id" : "ITEM-1", "itemData" : { "DOI" : "10.4319/lo.2014.59.4.0000", "ISSN" : "00243590", "abstract" : "Here we examine a 50+ yr data set from a regionally coordinated southern California water quality monitoring program to assess temporal trends and determine whether nearshore waters are exhibiting changes in dissolved oxygen (DO) content similar to those reported offshore. DO in sub\u2013mixed-layer nearshore waters (, 10 km from shore) have declined up to four times faster than reported for offshore waters over the last 15 yr. These trends were evident over depth, and along isopycnals. They have no precedent over the past 50 yr and do not appear to be attributable primarily to large-scale climate variability in ocean DO. Coastal biophysical processes, including increased phytoplankton biomass in surface waters, are likely contributing to the recent elevated rate of DO decline in nearshore waters, as evidenced by higher rates of increase in apparent oxygen utilization. It is unclear whether these processes result from upwelling-derived or anthropogenic nutrient inputs", "author" : [ { "dropping-particle" : "", "family" : "Booth", "given" : "J. Ashley T", "non-dropping-particle" : "", "parse-names" : false, "suffix" : "" }, { "dropping-particle" : "", "family" : "Woodson", "given" : "C B", "non-dropping-particle" : "", "parse-names" : false, "suffix" : "" }, { "dropping-particle" : "", "family" : "Sutula", "given" : "M", "non-dropping-particle" : "", "parse-names" : false, "suffix" : "" }, { "dropping-particle" : "", "family" : "Micheli", "given" : "F", "non-dropping-particle" : "", "parse-names" : false, "suffix" : "" }, { "dropping-particle" : "", "family" : "Weisberg", "given" : "S B", "non-dropping-particle" : "", "parse-names" : false, "suffix" : "" }, { "dropping-particle" : "", "family" : "Bograd", "given" : "Steven J.", "non-dropping-particle" : "", "parse-names" : false, "suffix" : "" }, { "dropping-particle" : "", "family" : "Steele", "given" : "A", "non-dropping-particle" : "", "parse-names" : false, "suffix" : "" }, { "dropping-particle" : "", "family" : "Schoen", "given" : "J", "non-dropping-particle" : "", "parse-names" : false, "suffix" : "" }, { "dropping-particle" : "", "family" : "Crowder", "given" : "L B", "non-dropping-particle" : "", "parse-names" : false, "suffix" : "" } ], "container-title" : "Limnology and Oceanography", "id" : "ITEM-1", "issue" : "4", "issued" : { "date-parts" : [ [ "2014" ] ] }, "note" : "Booth et al. 2014-L&amp;amp;O-patterns and mechanisms behind declining nearshore O2 in southern CA\n\nStudy questions: 1) Is DO on the continental shelf of CA changing? Is the change consistent across the southern CA Bight? 2) Are the trends consistent with CALCOFI observations from deeper waters? 3) If not, what else could be causing DO trends?\n\nAggregate DO records show sharp decline in O2 from 1998 onwards at both 15m and 42 m depth. DO decrease in nearshore has been faster than DO decrease offshore.\n\nDO decline not due to natural climate variability alone. Potential reasons-1. increased stratification&amp;gt;increased wind stress 2. shoaling of Chl. a maximum.\n\nWWTF-sourced nutrients unlikely the source for enhanced DO depletion as facilities have upgraded in the last few decades. If facilities were responsible, would have seen max DO declines in the 1960s and 1970s.", "page" : "1127-1138", "title" : "Patterns and potential drivers of declining oxygen content along the southern California coast", "type" : "article-journal", "volume" : "59" }, "uris" : [ "http://www.mendeley.com/documents/?uuid=c285d93d-6cfc-4e2f-a9de-9aa8e0de0a8c" ] } ], "mendeley" : { "formattedCitation" : "(Booth et al., 2014)", "plainTextFormattedCitation" : "(Booth et al., 2014)", "previouslyFormattedCitation" : "(Booth et al., 2014)" }, "properties" : { "noteIndex" : 0 }, "schema" : "https://github.com/citation-style-language/schema/raw/master/csl-citation.json" }</w:instrText>
      </w:r>
      <w:r>
        <w:fldChar w:fldCharType="separate"/>
      </w:r>
      <w:r w:rsidRPr="000447F9">
        <w:rPr>
          <w:noProof/>
        </w:rPr>
        <w:t>(Booth et al., 2014)</w:t>
      </w:r>
      <w:r>
        <w:fldChar w:fldCharType="end"/>
      </w:r>
      <w:r>
        <w:t xml:space="preserve">. We recommend that </w:t>
      </w:r>
      <w:r w:rsidR="00F36657">
        <w:t xml:space="preserve">regulatory </w:t>
      </w:r>
      <w:r>
        <w:t xml:space="preserve">agencies revise existing regulations to incorporate this understanding of natural variability in carbonate chemistry into their regulatory frameworks, as well as to expand the suite of carbonate chemistry water quality variables beyond pH alone </w:t>
      </w:r>
      <w:r>
        <w:fldChar w:fldCharType="begin" w:fldLock="1"/>
      </w:r>
      <w:r>
        <w:instrText>ADDIN CSL_CITATION { "citationItems" : [ { "id" : "ITEM-1", "itemData" : { "DOI" : "10.1016/j.ocecoaman.2016.03.010", "ISSN" : "09645691", "author" : [ { "dropping-particle" : "", "family" : "Weisberg", "given" : "Stephen B.", "non-dropping-particle" : "", "parse-names" : false, "suffix" : "" }, { "dropping-particle" : "", "family" : "Bednar\u0161ek", "given" : "Nina", "non-dropping-particle" : "", "parse-names" : false, "suffix" : "" }, { "dropping-particle" : "", "family" : "Feely", "given" : "Richard A.", "non-dropping-particle" : "", "parse-names" : false, "suffix" : "" }, { "dropping-particle" : "", "family" : "Chan", "given" : "Francis", "non-dropping-particle" : "", "parse-names" : false, "suffix" : "" }, { "dropping-particle" : "", "family" : "Boehm", "given" : "Alexandria B.", "non-dropping-particle" : "", "parse-names" : false, "suffix" : "" }, { "dropping-particle" : "", "family" : "Sutula", "given" : "Martha", "non-dropping-particle" : "", "parse-names" : false, "suffix" : "" }, { "dropping-particle" : "", "family" : "Ruesink", "given" : "Jennifer L.", "non-dropping-particle" : "", "parse-names" : false, "suffix" : "" }, { "dropping-particle" : "", "family" : "Hales", "given" : "Burke", "non-dropping-particle" : "", "parse-names" : false, "suffix" : "" }, { "dropping-particle" : "", "family" : "Largier", "given" : "John L.", "non-dropping-particle" : "", "parse-names" : false, "suffix" : "" }, { "dropping-particle" : "", "family" : "Newton", "given" : "Jan A.", "non-dropping-particle" : "", "parse-names" : false, "suffix" : "" } ], "container-title" : "Ocean &amp; Coastal Management", "id" : "ITEM-1", "issued" : { "date-parts" : [ [ "2016" ] ] }, "note" : "Weisberg et al. 2016-Ocean and Coastal Management-coastal water acidification regulations\n\nRuling of impaired water body-&amp;gt;listing on Clean Water Act Sec 303(d) listing of impaired water body-&amp;gt;TMDL process to limit discharges in order to improve water quality. \n\nCenter for Biological Diversity asked EPA to list OA-impacted waters as impaired under CWA 303(d). EPA responded by indicating that states should list waters impacted by OA under their 303(d) listings. Paper goal is to examine the approaches to 303(d) assessments for OA-affected waters. Two types of water quality criteria: numeric pH standards and narrative biological criteria. \n\nWest coast states (WA, OR, CA) have largely adoped the EPA's 1976 pH criteria: 6.5-8.5 and not more than 0.2 unit deviation from &amp;quot;natural'. Each state has modified these criteria slightly. \n\nStates also have narrative aquatic life criteria, including CA, which allow for water quality assessments based on the water's biological community. \n\nHistorical pH precision and accuracy are issues in establishing 303(d) impairment. Records frequently not long enough or accurate enough to establish upper and lower bounds pH criteria. Short-term records also not long enought to capture interannual/decadal trends and to separate these from anthropogenic influences. \n\nConsiderations for establishing aquatic life 303(d) impairment:\n1. Demonstrate population-level effects on native biota-can be population declines and/or changes in size structure, etc...\n2. Must connect population-level effects to an OA stressor, but does not necessarily need to be pH. \n3. Species must be ecologically important (vague)-easiest for managers if species is also economically important and/or threatened\n\nIMPT: supporting data for 303(d) decisions MUST be collected in state waters. \n\nChallenges of 303(d) impairments listings highlighted and discussed using case studies of pteropods and Pacific oysters.\n\nNeed better models to support TMDL decisions after 303(d) impairment-models not currently scaled to the spatial and temporal resolution necessary for management decisions. Need better validated models, and models that link to ecosystem effects.", "page" : "31-41", "title" : "Water quality criteria for an acidifying ocean: Challenges and opportunities for improvement", "type" : "article-journal", "volume" : "126" }, "uris" : [ "http://www.mendeley.com/documents/?uuid=807b5386-bbb9-434d-8006-cde69887be0a" ] } ], "mendeley" : { "formattedCitation" : "(Weisberg et al., 2016)", "plainTextFormattedCitation" : "(Weisberg et al., 2016)", "previouslyFormattedCitation" : "(Weisberg et al., 2016)" }, "properties" : { "noteIndex" : 0 }, "schema" : "https://github.com/citation-style-language/schema/raw/master/csl-citation.json" }</w:instrText>
      </w:r>
      <w:r>
        <w:fldChar w:fldCharType="separate"/>
      </w:r>
      <w:r w:rsidRPr="000447F9">
        <w:rPr>
          <w:noProof/>
        </w:rPr>
        <w:t>(Weisberg et al., 2016)</w:t>
      </w:r>
      <w:r>
        <w:fldChar w:fldCharType="end"/>
      </w:r>
      <w:r>
        <w:t xml:space="preserve">. Developing stronger biological criteria for carbonate chemistry ranges and variability deemed necessary to preserve critical marine living resources would help align scientific and management priorities by focusing research efforts on quantifying these acceptable ranges of conditions </w:t>
      </w:r>
      <w:r>
        <w:fldChar w:fldCharType="begin" w:fldLock="1"/>
      </w:r>
      <w:r>
        <w:instrText>ADDIN CSL_CITATION { "citationItems" : [ { "id" : "ITEM-1", "itemData" : { "DOI" : "10.1016/j.ocecoaman.2016.03.010", "ISSN" : "09645691", "author" : [ { "dropping-particle" : "", "family" : "Weisberg", "given" : "Stephen B.", "non-dropping-particle" : "", "parse-names" : false, "suffix" : "" }, { "dropping-particle" : "", "family" : "Bednar\u0161ek", "given" : "Nina", "non-dropping-particle" : "", "parse-names" : false, "suffix" : "" }, { "dropping-particle" : "", "family" : "Feely", "given" : "Richard A.", "non-dropping-particle" : "", "parse-names" : false, "suffix" : "" }, { "dropping-particle" : "", "family" : "Chan", "given" : "Francis", "non-dropping-particle" : "", "parse-names" : false, "suffix" : "" }, { "dropping-particle" : "", "family" : "Boehm", "given" : "Alexandria B.", "non-dropping-particle" : "", "parse-names" : false, "suffix" : "" }, { "dropping-particle" : "", "family" : "Sutula", "given" : "Martha", "non-dropping-particle" : "", "parse-names" : false, "suffix" : "" }, { "dropping-particle" : "", "family" : "Ruesink", "given" : "Jennifer L.", "non-dropping-particle" : "", "parse-names" : false, "suffix" : "" }, { "dropping-particle" : "", "family" : "Hales", "given" : "Burke", "non-dropping-particle" : "", "parse-names" : false, "suffix" : "" }, { "dropping-particle" : "", "family" : "Largier", "given" : "John L.", "non-dropping-particle" : "", "parse-names" : false, "suffix" : "" }, { "dropping-particle" : "", "family" : "Newton", "given" : "Jan A.", "non-dropping-particle" : "", "parse-names" : false, "suffix" : "" } ], "container-title" : "Ocean &amp; Coastal Management", "id" : "ITEM-1", "issued" : { "date-parts" : [ [ "2016" ] ] }, "note" : "Weisberg et al. 2016-Ocean and Coastal Management-coastal water acidification regulations\n\nRuling of impaired water body-&amp;gt;listing on Clean Water Act Sec 303(d) listing of impaired water body-&amp;gt;TMDL process to limit discharges in order to improve water quality. \n\nCenter for Biological Diversity asked EPA to list OA-impacted waters as impaired under CWA 303(d). EPA responded by indicating that states should list waters impacted by OA under their 303(d) listings. Paper goal is to examine the approaches to 303(d) assessments for OA-affected waters. Two types of water quality criteria: numeric pH standards and narrative biological criteria. \n\nWest coast states (WA, OR, CA) have largely adoped the EPA's 1976 pH criteria: 6.5-8.5 and not more than 0.2 unit deviation from &amp;quot;natural'. Each state has modified these criteria slightly. \n\nStates also have narrative aquatic life criteria, including CA, which allow for water quality assessments based on the water's biological community. \n\nHistorical pH precision and accuracy are issues in establishing 303(d) impairment. Records frequently not long enough or accurate enough to establish upper and lower bounds pH criteria. Short-term records also not long enought to capture interannual/decadal trends and to separate these from anthropogenic influences. \n\nConsiderations for establishing aquatic life 303(d) impairment:\n1. Demonstrate population-level effects on native biota-can be population declines and/or changes in size structure, etc...\n2. Must connect population-level effects to an OA stressor, but does not necessarily need to be pH. \n3. Species must be ecologically important (vague)-easiest for managers if species is also economically important and/or threatened\n\nIMPT: supporting data for 303(d) decisions MUST be collected in state waters. \n\nChallenges of 303(d) impairments listings highlighted and discussed using case studies of pteropods and Pacific oysters.\n\nNeed better models to support TMDL decisions after 303(d) impairment-models not currently scaled to the spatial and temporal resolution necessary for management decisions. Need better validated models, and models that link to ecosystem effects.", "page" : "31-41", "title" : "Water quality criteria for an acidifying ocean: Challenges and opportunities for improvement", "type" : "article-journal", "volume" : "126" }, "uris" : [ "http://www.mendeley.com/documents/?uuid=807b5386-bbb9-434d-8006-cde69887be0a" ] }, { "id" : "ITEM-2", "itemData" : { "author" : [ { "dropping-particle" : "", "family" : "Chan", "given" : "F.", "non-dropping-particle" : "", "parse-names" : false, "suffix" : "" }, { "dropping-particle" : "", "family" : "Boehm", "given" : "A.B.", "non-dropping-particle" : "", "parse-names" : false, "suffix" : "" }, { "dropping-particle" : "", "family" : "Barth", "given" : "John A.", "non-dropping-particle" : "", "parse-names" : false, "suffix" : "" }, { "dropping-particle" : "", "family" : "Chornesky", "given" : "E.A.", "non-dropping-particle" : "", "parse-names" : false, "suffix" : "" }, { "dropping-particle" : "", "family" : "Dickson", "given" : "Andrew G.", "non-dropping-particle" : "", "parse-names" : false, "suffix" : "" }, { "dropping-particle" : "", "family" : "Feely", "given" : "Richard A.", "non-dropping-particle" : "", "parse-names" : false, "suffix" : "" }, { "dropping-particle" : "", "family" : "Hales", "given" : "Burke", "non-dropping-particle" : "", "parse-names" : false, "suffix" : "" }, { "dropping-particle" : "", "family" : "Hill", "given" : "Tessa M", "non-dropping-particle" : "", "parse-names" : false, "suffix" : "" }, { "dropping-particle" : "", "family" : "Hofmann", "given" : "Gretchen E.", "non-dropping-particle" : "", "parse-names" : false, "suffix" : "" }, { "dropping-particle" : "", "family" : "Ianson", "given" : "D.", "non-dropping-particle" : "", "parse-names" : false, "suffix" : "" }, { "dropping-particle" : "", "family" : "Klinger", "given" : "Terrie", "non-dropping-particle" : "", "parse-names" : false, "suffix" : "" }, { "dropping-particle" : "", "family" : "Largier", "given" : "John L.", "non-dropping-particle" : "", "parse-names" : false, "suffix" : "" }, { "dropping-particle" : "", "family" : "Newton", "given" : "Jan A", "non-dropping-particle" : "", "parse-names" : false, "suffix" : "" }, { "dropping-particle" : "", "family" : "Pedersen", "given" : "T", "non-dropping-particle" : "", "parse-names" : false, "suffix" : "" }, { "dropping-particle" : "", "family" : "Somero", "given" : "G.N.", "non-dropping-particle" : "", "parse-names" : false, "suffix" : "" }, { "dropping-particle" : "", "family" : "Sutula", "given" : "M.", "non-dropping-particle" : "", "parse-names" : false, "suffix" : "" }, { "dropping-particle" : "", "family" : "Wakefield", "given" : "W.W.", "non-dropping-particle" : "", "parse-names" : false, "suffix" : "" }, { "dropping-particle" : "", "family" : "Waldbusser", "given" : "George G.", "non-dropping-particle" : "", "parse-names" : false, "suffix" : "" }, { "dropping-particle" : "", "family" : "Weisberg", "given" : "Stephen B.", "non-dropping-particle" : "", "parse-names" : false, "suffix" : "" }, { "dropping-particle" : "", "family" : "Whiteman", "given" : "E.", "non-dropping-particle" : "", "parse-names" : false, "suffix" : "" } ], "id" : "ITEM-2", "issued" : { "date-parts" : [ [ "2016" ] ] }, "number-of-pages" : "40", "publisher-place" : "Oakland, California", "title" : "The West Coast Ocean Acidification and Hypoxia Science Panel: Major Findings, Recommendations, and Actions", "type" : "report" }, "uris" : [ "http://www.mendeley.com/documents/?uuid=d2cf69ac-24e2-4736-ab80-5728a2f287b7" ] } ], "mendeley" : { "formattedCitation" : "(Chan et al., 2016; Weisberg et al., 2016)", "plainTextFormattedCitation" : "(Chan et al., 2016; Weisberg et al., 2016)", "previouslyFormattedCitation" : "(Chan et al., 2016; Weisberg et al., 2016)" }, "properties" : { "noteIndex" : 0 }, "schema" : "https://github.com/citation-style-language/schema/raw/master/csl-citation.json" }</w:instrText>
      </w:r>
      <w:r>
        <w:fldChar w:fldCharType="separate"/>
      </w:r>
      <w:r w:rsidRPr="000447F9">
        <w:rPr>
          <w:noProof/>
        </w:rPr>
        <w:t>(Chan et al., 2016; Weisberg et al., 2016)</w:t>
      </w:r>
      <w:r>
        <w:fldChar w:fldCharType="end"/>
      </w:r>
      <w:r>
        <w:t xml:space="preserve">. </w:t>
      </w:r>
    </w:p>
    <w:p w14:paraId="5C5FEBDB" w14:textId="35AF9E08" w:rsidR="00005E12" w:rsidRPr="0025736C" w:rsidRDefault="00005E12" w:rsidP="00005E12">
      <w:r>
        <w:tab/>
        <w:t xml:space="preserve">Comprehensive, spatially expansive monitoring is fundamental to characterizing the ranges and timescales of carbonate system variability in highly productive coastal ecosystems, such as kelp forests. Maintaining monitoring networks along coastal ecosystems is a crucial step to developing an understanding of natural vs. anthropogenic influences in the coastal zone in support management and regulatory efforts </w:t>
      </w:r>
      <w:r>
        <w:fldChar w:fldCharType="begin" w:fldLock="1"/>
      </w:r>
      <w:r>
        <w:instrText>ADDIN CSL_CITATION { "citationItems" : [ { "id" : "ITEM-1", "itemData" : { "DOI" : "10.1093/biosci/biu072", "author" : [ { "dropping-particle" : "", "family" : "Strong", "given" : "Aaron L.", "non-dropping-particle" : "", "parse-names" : false, "suffix" : "" }, { "dropping-particle" : "", "family" : "Kroeker", "given" : "Kristy J.", "non-dropping-particle" : "", "parse-names" : false, "suffix" : "" }, { "dropping-particle" : "", "family" : "Teneva", "given" : "Lida T.", "non-dropping-particle" : "", "parse-names" : false, "suffix" : "" }, { "dropping-particle" : "", "family" : "Mease", "given" : "Lindley A.", "non-dropping-particle" : "", "parse-names" : false, "suffix" : "" }, { "dropping-particle" : "", "family" : "Kelly", "given" : "Ryan P.", "non-dropping-particle" : "", "parse-names" : false, "suffix" : "" } ], "container-title" : "Bioscience", "id" : "ITEM-1", "issue" : "7", "issued" : { "date-parts" : [ [ "2014" ] ] }, "note" : "Strong et al. 2014-Bioscience-Managing for OA at regional and local scales \n\u00a0\u00a0\u00a0\u00a0\u00a0\u00a0\u00a0\u00a0\u00a0\u00a0\u00a0 Difficult to manage coastal waters for OA because of overlapping jurisdictional authorities in the coastal zone. Environmental managers need to be able to relate changes in carbonate chemistry to changes in human livelihood. Two most dominant indirect drivers of acidification in coastal environments: eutrophication and riverine discharge. Also need to account for spatially variable upwelling, whose signature will be imprinted on top of eutrophication and riverine discharge. UNFCC has not adopted any treaty instruments to address OA. FOARAM creates interagency working group (IWG). IWG recommendations-&amp;gt;NOAA OA Program (OAP). California Ocean Science Trust-scientific advisory group formed by state law. COST-&amp;gt;West Coast Ocean Acidification and Hypoxia Science Panel. 9 recommendations for mitigating and adapting to OA in coastal environments. 1) Organize stakeholders to assess OA threats and plan for impacts-can be done in every state and doesn\u2019t cost much money. Can do so by leveraging existing organizations-make sure that those with OA under their purview are actually considering OA issues. Include OA planning in state-level coastal zone management plans as part of the Coastal Zone Management Act of 1972. Utilize existing laws to combat localized acidification using the Clean Water Act. \u00a0Force consideration of acidification impacts as part of the NEPA permitting process.", "page" : "581-592", "title" : "Ocean acidification 2.0: managing our changing coastal ocean chemistry", "type" : "article-journal", "volume" : "64" }, "uris" : [ "http://www.mendeley.com/documents/?uuid=32d5d900-4336-437b-9b70-d7baafdc7694" ] } ], "mendeley" : { "formattedCitation" : "(Strong et al., 2014)", "plainTextFormattedCitation" : "(Strong et al., 2014)", "previouslyFormattedCitation" : "(Strong et al., 2014)" }, "properties" : { "noteIndex" : 0 }, "schema" : "https://github.com/citation-style-language/schema/raw/master/csl-citation.json" }</w:instrText>
      </w:r>
      <w:r>
        <w:fldChar w:fldCharType="separate"/>
      </w:r>
      <w:r w:rsidRPr="000447F9">
        <w:rPr>
          <w:noProof/>
        </w:rPr>
        <w:t>(Strong et al., 2014)</w:t>
      </w:r>
      <w:r>
        <w:fldChar w:fldCharType="end"/>
      </w:r>
      <w:r>
        <w:t xml:space="preserve">. Recent advances in sensor technology, such as the </w:t>
      </w:r>
      <w:proofErr w:type="spellStart"/>
      <w:r>
        <w:t>SeapHOx</w:t>
      </w:r>
      <w:proofErr w:type="spellEnd"/>
      <w:r>
        <w:t xml:space="preserve"> </w:t>
      </w:r>
      <w:r>
        <w:fldChar w:fldCharType="begin" w:fldLock="1"/>
      </w:r>
      <w:r>
        <w:instrText>ADDIN CSL_CITATION { "citationItems" : [ { "id" : "ITEM-1", "itemData" : { "DOI" : "10.1016/j.mio.2014.08.003", "ISSN" : "22111220", "author" : [ { "dropping-particle" : "", "family" : "Bresnahan", "given" : "Philip J.", "non-dropping-particle" : "", "parse-names" : false, "suffix" : "" }, { "dropping-particle" : "", "family" : "Martz", "given" : "Todd R.", "non-dropping-particle" : "", "parse-names" : false, "suffix" : "" }, { "dropping-particle" : "", "family" : "Takeshita", "given" : "Yuichiro", "non-dropping-particle" : "", "parse-names" : false, "suffix" : "" }, { "dropping-particle" : "", "family" : "Johnson", "given" : "Kenneth S.", "non-dropping-particle" : "", "parse-names" : false, "suffix" : "" }, { "dropping-particle" : "", "family" : "LaShomb", "given" : "Makaila", "non-dropping-particle" : "", "parse-names" : false, "suffix" : "" } ], "container-title" : "Methods in Oceanography", "id" : "ITEM-1", "issue" : "August", "issued" : { "date-parts" : [ [ "2014", "4" ] ] }, "page" : "44-60", "publisher" : "Elsevier Ltd", "title" : "Best practices for autonomous measurement of seawater pH with the Honeywell Durafet", "type" : "article-journal", "volume" : "9" }, "uris" : [ "http://www.mendeley.com/documents/?uuid=caae8845-01d8-4daa-8f81-739615c82bcd" ] } ], "mendeley" : { "formattedCitation" : "(Bresnahan et al., 2014)", "plainTextFormattedCitation" : "(Bresnahan et al., 2014)", "previouslyFormattedCitation" : "(Bresnahan et al., 2014)" }, "properties" : { "noteIndex" : 0 }, "schema" : "https://github.com/citation-style-language/schema/raw/master/csl-citation.json" }</w:instrText>
      </w:r>
      <w:r>
        <w:fldChar w:fldCharType="separate"/>
      </w:r>
      <w:r w:rsidRPr="000447F9">
        <w:rPr>
          <w:noProof/>
        </w:rPr>
        <w:t>(Bresnahan et al., 2014)</w:t>
      </w:r>
      <w:r>
        <w:fldChar w:fldCharType="end"/>
      </w:r>
      <w:r>
        <w:t xml:space="preserve">, may make monitoring far less laborious than the data collection efforts in this study. However, we strongly recommend that monitoring programs </w:t>
      </w:r>
      <w:r w:rsidR="00DA687D">
        <w:t xml:space="preserve">measure </w:t>
      </w:r>
      <w:r w:rsidR="00082B49">
        <w:t xml:space="preserve">at least two </w:t>
      </w:r>
      <w:r>
        <w:t>carbonate system parameters (TA, DIC, pH, pCO</w:t>
      </w:r>
      <w:r w:rsidRPr="007412C8">
        <w:rPr>
          <w:vertAlign w:val="subscript"/>
        </w:rPr>
        <w:t>2</w:t>
      </w:r>
      <w:r>
        <w:t>) so as to fully constrain the carbonate system</w:t>
      </w:r>
      <w:r w:rsidR="00DA687D">
        <w:t xml:space="preserve"> </w:t>
      </w:r>
      <w:r w:rsidR="00DA687D">
        <w:fldChar w:fldCharType="begin" w:fldLock="1"/>
      </w:r>
      <w:r w:rsidR="00DA687D">
        <w:instrText>ADDIN CSL_CITATION { "citationItems" : [ { "id" : "ITEM-1", "itemData" : { "DOI" : "http://dx.doi.org/10.5670/oceanog.2015.39", "ISSN" : "10428275", "author" : [ { "dropping-particle" : "", "family" : "McLaughlin", "given" : "Karen", "non-dropping-particle" : "", "parse-names" : false, "suffix" : "" }, { "dropping-particle" : "", "family" : "Weisberg", "given" : "Stephen B", "non-dropping-particle" : "", "parse-names" : false, "suffix" : "" }, { "dropping-particle" : "", "family" : "Dickson", "given" : "Andrew G.", "non-dropping-particle" : "", "parse-names" : false, "suffix" : "" }, { "dropping-particle" : "", "family" : "Hofmann", "given" : "Gretchen E.", "non-dropping-particle" : "", "parse-names" : false, "suffix" : "" }, { "dropping-particle" : "", "family" : "Newton", "given" : "Jan A", "non-dropping-particle" : "", "parse-names" : false, "suffix" : "" }, { "dropping-particle" : "", "family" : "Aseltine-Neilson", "given" : "Deborah", "non-dropping-particle" : "", "parse-names" : false, "suffix" : "" }, { "dropping-particle" : "", "family" : "Barton", "given" : "Alan", "non-dropping-particle" : "", "parse-names" : false, "suffix" : "" }, { "dropping-particle" : "", "family" : "Cudd", "given" : "Sue", "non-dropping-particle" : "", "parse-names" : false, "suffix" : "" }, { "dropping-particle" : "", "family" : "Feely", "given" : "Richard A", "non-dropping-particle" : "", "parse-names" : false, "suffix" : "" }, { "dropping-particle" : "", "family" : "Jefferds", "given" : "Ian W", "non-dropping-particle" : "", "parse-names" : false, "suffix" : "" }, { "dropping-particle" : "", "family" : "Jewett", "given" : "E.B.", "non-dropping-particle" : "", "parse-names" : false, "suffix" : "" }, { "dropping-particle" : "", "family" : "King", "given" : "T.", "non-dropping-particle" : "", "parse-names" : false, "suffix" : "" }, { "dropping-particle" : "", "family" : "Langdon", "given" : "C.J.", "non-dropping-particle" : "", "parse-names" : false, "suffix" : "" }, { "dropping-particle" : "", "family" : "McAfee", "given" : "S.", "non-dropping-particle" : "", "parse-names" : false, "suffix" : "" }, { "dropping-particle" : "", "family" : "Pleschner-Steele", "given" : "D.", "non-dropping-particle" : "", "parse-names" : false, "suffix" : "" }, { "dropping-particle" : "", "family" : "Steele", "given" : "B.", "non-dropping-particle" : "", "parse-names" : false, "suffix" : "" } ], "container-title" : "Oceanography", "id" : "ITEM-1", "issue" : "2", "issued" : { "date-parts" : [ [ "2015" ] ] }, "note" : "McLaughlin et al. 2015-Oceanography-Overview of the California Current Acidification Network (C-CAN)\nStill have a poor understanding of coastal feedback mechanisms, largely because we still don't have the models yet to understand the various factors. Need better monitoring data to build the models. Mismatch in chemical analyses and sampling locations make it difficult to match up biological data sets with traditional oceanographic data sets. Recommendations: 1. Measurements should allow for determinate of Omega_Ar and complete descripton of carbonate system 2. Limit uncertainty in Omega_Ar to +/- 0.2 units - to this end, recommend a consistent set of C system constants for use when calculating Omega_Ar. 3. Different types of measurement platforms: high frequency monitoring at single sites, synoptic mapping, and core vs. auxilliary measurements. 4. Linking chemical and physical data to biological data 5. Monitoring network should share data and make data accessible. This step is necessary to providing the necessary information to design proper experiments and develop predictive models. ", "page" : "160-169", "title" : "Core principles of the California Current Acidification Network: Linking chemistry, physics, and ecological effects", "type" : "article-journal", "volume" : "28" }, "uris" : [ "http://www.mendeley.com/documents/?uuid=2400b9c1-897f-46b0-8438-e1e50e31cfd7" ] } ], "mendeley" : { "formattedCitation" : "(McLaughlin et al., 2015)", "plainTextFormattedCitation" : "(McLaughlin et al., 2015)", "previouslyFormattedCitation" : "(McLaughlin et al., 2015)" }, "properties" : { "noteIndex" : 0 }, "schema" : "https://github.com/citation-style-language/schema/raw/master/csl-citation.json" }</w:instrText>
      </w:r>
      <w:r w:rsidR="00DA687D">
        <w:fldChar w:fldCharType="separate"/>
      </w:r>
      <w:r w:rsidR="00DA687D" w:rsidRPr="000447F9">
        <w:rPr>
          <w:noProof/>
        </w:rPr>
        <w:t>(McLaughlin et al., 2015)</w:t>
      </w:r>
      <w:r w:rsidR="00DA687D">
        <w:fldChar w:fldCharType="end"/>
      </w:r>
      <w:r w:rsidR="00082B49">
        <w:t xml:space="preserve">, with a goal of measuring three or </w:t>
      </w:r>
      <w:r w:rsidR="00082B49">
        <w:lastRenderedPageBreak/>
        <w:t>more parameters to over-constrain the system</w:t>
      </w:r>
      <w:r>
        <w:t xml:space="preserve">. Coupling </w:t>
      </w:r>
      <w:proofErr w:type="spellStart"/>
      <w:r>
        <w:t>SeapHOx</w:t>
      </w:r>
      <w:proofErr w:type="spellEnd"/>
      <w:r>
        <w:t xml:space="preserve"> sensors to autonomous pCO</w:t>
      </w:r>
      <w:r w:rsidRPr="007412C8">
        <w:rPr>
          <w:vertAlign w:val="subscript"/>
        </w:rPr>
        <w:t>2</w:t>
      </w:r>
      <w:r>
        <w:t xml:space="preserve"> </w:t>
      </w:r>
      <w:r>
        <w:fldChar w:fldCharType="begin" w:fldLock="1"/>
      </w:r>
      <w:r>
        <w:instrText>ADDIN CSL_CITATION { "citationItems" : [ { "id" : "ITEM-1", "itemData" : { "DOI" : "10.5670/oceanog.2015.30", "ISBN" : "9781604138795", "author" : [ { "dropping-particle" : "", "family" : "Martz", "given" : "Todd R.", "non-dropping-particle" : "", "parse-names" : false, "suffix" : "" }, { "dropping-particle" : "", "family" : "Daly", "given" : "Kendra L", "non-dropping-particle" : "", "parse-names" : false, "suffix" : "" }, { "dropping-particle" : "", "family" : "Byrne", "given" : "R.H.", "non-dropping-particle" : "", "parse-names" : false, "suffix" : "" }, { "dropping-particle" : "", "family" : "Stillman", "given" : "J H", "non-dropping-particle" : "", "parse-names" : false, "suffix" : "" }, { "dropping-particle" : "", "family" : "Turk", "given" : "D", "non-dropping-particle" : "", "parse-names" : false, "suffix" : "" } ], "container-title" : "Oceanography", "id" : "ITEM-1", "issue" : "2", "issued" : { "date-parts" : [ [ "2015" ] ] }, "note" : "Martz et al. (2015)-Oceanography-Review of instrument options for C system measurements and community needs\nPaper discussion largely based on survey distributed by OCB prior to OAPI meeting in 2015. Most autonomous sensors available are for pCO2. Researchers need to think about goals and requirements for scientific study in order to decide how to measure a particular variable. Study table lays out all available commercial CO2 system measurement technology (as of 2015). Recommends enhancing CRM program.", "page" : "40-47", "title" : "Technology for ocean acidification research needs: Needs and availability", "type" : "article-journal", "volume" : "28" }, "uris" : [ "http://www.mendeley.com/documents/?uuid=8eb68f18-9d8f-409d-8d50-004b6dfa029f" ] } ], "mendeley" : { "formattedCitation" : "(Martz et al., 2015)", "manualFormatting" : "(as discussed in Martz et al. 2015)", "plainTextFormattedCitation" : "(Martz et al., 2015)", "previouslyFormattedCitation" : "(Martz et al., 2015)" }, "properties" : { "noteIndex" : 0 }, "schema" : "https://github.com/citation-style-language/schema/raw/master/csl-citation.json" }</w:instrText>
      </w:r>
      <w:r>
        <w:fldChar w:fldCharType="separate"/>
      </w:r>
      <w:r w:rsidRPr="00E547CB">
        <w:rPr>
          <w:noProof/>
        </w:rPr>
        <w:t>(</w:t>
      </w:r>
      <w:r>
        <w:rPr>
          <w:noProof/>
        </w:rPr>
        <w:t xml:space="preserve">as discussed in </w:t>
      </w:r>
      <w:r w:rsidRPr="00E547CB">
        <w:rPr>
          <w:noProof/>
        </w:rPr>
        <w:t>Martz et al. 2015)</w:t>
      </w:r>
      <w:r>
        <w:fldChar w:fldCharType="end"/>
      </w:r>
      <w:r>
        <w:t xml:space="preserve"> or newly developed autonomous TA sensors </w:t>
      </w:r>
      <w:r>
        <w:fldChar w:fldCharType="begin" w:fldLock="1"/>
      </w:r>
      <w:r>
        <w:instrText>ADDIN CSL_CITATION { "citationItems" : [ { "id" : "ITEM-1", "itemData" : { "DOI" : "10.1021/es501615x", "ISSN" : "1520-5851", "PMID" : "25051401", "abstract" : "Total alkalinity (AT) is an important parameter for describing the marine inorganic carbon system and understanding the effects of atmospheric CO2 on the oceans. Measurements of AT are limited, however, because of the laborious process of collecting and analyzing samples. In this work we evaluate the performance of an autonomous instrument for high temporal resolution measurements of seawater AT. The Submersible Autonomous Moored Instrument for alkalinity (SAMI-alk) uses a novel tracer monitored titration method where a colorimetric pH indicator quantifies both pH and relative volumes of sample and titrant, circumventing the need for gravimetric or volumetric measurements. The SAMI-alk performance was validated in the laboratory and in situ during two field studies. Overall in situ accuracy was -2.2 \u00b1 13.1 \u03bcmol kg(-1) (n = 86), on the basis of comparison to discrete samples. Precision on duplicate analyses of a carbonate standard was \u00b14.7 \u03bcmol kg(-1) (n = 22). This prototype instrument can measure in situ AT hourly for one month, limited by consumption of reagent and standard solutions.", "author" : [ { "dropping-particle" : "", "family" : "Spaulding", "given" : "Reggie S", "non-dropping-particle" : "", "parse-names" : false, "suffix" : "" }, { "dropping-particle" : "", "family" : "DeGrandpre", "given" : "Michael D", "non-dropping-particle" : "", "parse-names" : false, "suffix" : "" }, { "dropping-particle" : "", "family" : "Beck", "given" : "James C", "non-dropping-particle" : "", "parse-names" : false, "suffix" : "" }, { "dropping-particle" : "", "family" : "Hart", "given" : "Robert D", "non-dropping-particle" : "", "parse-names" : false, "suffix" : "" }, { "dropping-particle" : "", "family" : "Peterson", "given" : "Brittany", "non-dropping-particle" : "", "parse-names" : false, "suffix" : "" }, { "dropping-particle" : "", "family" : "DeCarlo", "given" : "Eric H", "non-dropping-particle" : "", "parse-names" : false, "suffix" : "" }, { "dropping-particle" : "", "family" : "Drupp", "given" : "Patrick S", "non-dropping-particle" : "", "parse-names" : false, "suffix" : "" }, { "dropping-particle" : "", "family" : "Hammar", "given" : "Terry R", "non-dropping-particle" : "", "parse-names" : false, "suffix" : "" } ], "container-title" : "Environmental Science and Technology", "id" : "ITEM-1", "issue" : "16", "issued" : { "date-parts" : [ [ "2014" ] ] }, "note" : "Spaulding et al. 2014-ES&amp;amp;T- autonomous in-situ TA measurements\n\nTracer monitored titration (TMT) eliminates need for accurate volumetric or gravimetric dosing. Uses an indicator tracer to measure dilution instead. Solenoid valve allows for measurements of seawater, but also CRMs. Field testing at Hatfield Marine Science Center (Newport, OR) and Kaneohe Bay.", "page" : "9573-9581", "title" : "Autonomous in situ measurements of seawater alkalinity.", "type" : "article-journal", "volume" : "48" }, "uris" : [ "http://www.mendeley.com/documents/?uuid=32fad514-a5c2-4f7e-a2af-7104927ec138" ] } ], "mendeley" : { "formattedCitation" : "(Spaulding et al., 2014)", "plainTextFormattedCitation" : "(Spaulding et al., 2014)", "previouslyFormattedCitation" : "(Spaulding et al., 2014)" }, "properties" : { "noteIndex" : 0 }, "schema" : "https://github.com/citation-style-language/schema/raw/master/csl-citation.json" }</w:instrText>
      </w:r>
      <w:r>
        <w:fldChar w:fldCharType="separate"/>
      </w:r>
      <w:r w:rsidRPr="000447F9">
        <w:rPr>
          <w:noProof/>
        </w:rPr>
        <w:t>(Spaulding et al., 2014)</w:t>
      </w:r>
      <w:r>
        <w:fldChar w:fldCharType="end"/>
      </w:r>
      <w:r>
        <w:t xml:space="preserve"> may accomplish this task. Integrating observations from individual sites along the California coast into larger coordinated networks, such as the California-Current Acidification Network, will provide a more complete perspective on the spatial and temporal variability of the aqueous CO</w:t>
      </w:r>
      <w:r w:rsidRPr="007412C8">
        <w:rPr>
          <w:vertAlign w:val="subscript"/>
        </w:rPr>
        <w:t>2</w:t>
      </w:r>
      <w:r>
        <w:t xml:space="preserve"> system and its controls </w:t>
      </w:r>
      <w:r>
        <w:fldChar w:fldCharType="begin" w:fldLock="1"/>
      </w:r>
      <w:r>
        <w:instrText>ADDIN CSL_CITATION { "citationItems" : [ { "id" : "ITEM-1", "itemData" : { "DOI" : "http://dx.doi.org/10.5670/oceanog.2015.39", "ISSN" : "10428275", "author" : [ { "dropping-particle" : "", "family" : "McLaughlin", "given" : "Karen", "non-dropping-particle" : "", "parse-names" : false, "suffix" : "" }, { "dropping-particle" : "", "family" : "Weisberg", "given" : "Stephen B", "non-dropping-particle" : "", "parse-names" : false, "suffix" : "" }, { "dropping-particle" : "", "family" : "Dickson", "given" : "Andrew G.", "non-dropping-particle" : "", "parse-names" : false, "suffix" : "" }, { "dropping-particle" : "", "family" : "Hofmann", "given" : "Gretchen E.", "non-dropping-particle" : "", "parse-names" : false, "suffix" : "" }, { "dropping-particle" : "", "family" : "Newton", "given" : "Jan A", "non-dropping-particle" : "", "parse-names" : false, "suffix" : "" }, { "dropping-particle" : "", "family" : "Aseltine-Neilson", "given" : "Deborah", "non-dropping-particle" : "", "parse-names" : false, "suffix" : "" }, { "dropping-particle" : "", "family" : "Barton", "given" : "Alan", "non-dropping-particle" : "", "parse-names" : false, "suffix" : "" }, { "dropping-particle" : "", "family" : "Cudd", "given" : "Sue", "non-dropping-particle" : "", "parse-names" : false, "suffix" : "" }, { "dropping-particle" : "", "family" : "Feely", "given" : "Richard A", "non-dropping-particle" : "", "parse-names" : false, "suffix" : "" }, { "dropping-particle" : "", "family" : "Jefferds", "given" : "Ian W", "non-dropping-particle" : "", "parse-names" : false, "suffix" : "" }, { "dropping-particle" : "", "family" : "Jewett", "given" : "E.B.", "non-dropping-particle" : "", "parse-names" : false, "suffix" : "" }, { "dropping-particle" : "", "family" : "King", "given" : "T.", "non-dropping-particle" : "", "parse-names" : false, "suffix" : "" }, { "dropping-particle" : "", "family" : "Langdon", "given" : "C.J.", "non-dropping-particle" : "", "parse-names" : false, "suffix" : "" }, { "dropping-particle" : "", "family" : "McAfee", "given" : "S.", "non-dropping-particle" : "", "parse-names" : false, "suffix" : "" }, { "dropping-particle" : "", "family" : "Pleschner-Steele", "given" : "D.", "non-dropping-particle" : "", "parse-names" : false, "suffix" : "" }, { "dropping-particle" : "", "family" : "Steele", "given" : "B.", "non-dropping-particle" : "", "parse-names" : false, "suffix" : "" } ], "container-title" : "Oceanography", "id" : "ITEM-1", "issue" : "2", "issued" : { "date-parts" : [ [ "2015" ] ] }, "note" : "McLaughlin et al. 2015-Oceanography-Overview of the California Current Acidification Network (C-CAN)\nStill have a poor understanding of coastal feedback mechanisms, largely because we still don't have the models yet to understand the various factors. Need better monitoring data to build the models. Mismatch in chemical analyses and sampling locations make it difficult to match up biological data sets with traditional oceanographic data sets. Recommendations: 1. Measurements should allow for determinate of Omega_Ar and complete descripton of carbonate system 2. Limit uncertainty in Omega_Ar to +/- 0.2 units - to this end, recommend a consistent set of C system constants for use when calculating Omega_Ar. 3. Different types of measurement platforms: high frequency monitoring at single sites, synoptic mapping, and core vs. auxilliary measurements. 4. Linking chemical and physical data to biological data 5. Monitoring network should share data and make data accessible. This step is necessary to providing the necessary information to design proper experiments and develop predictive models. ", "page" : "160-169", "title" : "Core principles of the California Current Acidification Network: Linking chemistry, physics, and ecological effects", "type" : "article-journal", "volume" : "28" }, "uris" : [ "http://www.mendeley.com/documents/?uuid=2400b9c1-897f-46b0-8438-e1e50e31cfd7" ] }, { "id" : "ITEM-2", "itemData" : { "author" : [ { "dropping-particle" : "", "family" : "Chan", "given" : "F.", "non-dropping-particle" : "", "parse-names" : false, "suffix" : "" }, { "dropping-particle" : "", "family" : "Boehm", "given" : "A.B.", "non-dropping-particle" : "", "parse-names" : false, "suffix" : "" }, { "dropping-particle" : "", "family" : "Barth", "given" : "John A.", "non-dropping-particle" : "", "parse-names" : false, "suffix" : "" }, { "dropping-particle" : "", "family" : "Chornesky", "given" : "E.A.", "non-dropping-particle" : "", "parse-names" : false, "suffix" : "" }, { "dropping-particle" : "", "family" : "Dickson", "given" : "Andrew G.", "non-dropping-particle" : "", "parse-names" : false, "suffix" : "" }, { "dropping-particle" : "", "family" : "Feely", "given" : "Richard A.", "non-dropping-particle" : "", "parse-names" : false, "suffix" : "" }, { "dropping-particle" : "", "family" : "Hales", "given" : "Burke", "non-dropping-particle" : "", "parse-names" : false, "suffix" : "" }, { "dropping-particle" : "", "family" : "Hill", "given" : "Tessa M", "non-dropping-particle" : "", "parse-names" : false, "suffix" : "" }, { "dropping-particle" : "", "family" : "Hofmann", "given" : "Gretchen E.", "non-dropping-particle" : "", "parse-names" : false, "suffix" : "" }, { "dropping-particle" : "", "family" : "Ianson", "given" : "D.", "non-dropping-particle" : "", "parse-names" : false, "suffix" : "" }, { "dropping-particle" : "", "family" : "Klinger", "given" : "Terrie", "non-dropping-particle" : "", "parse-names" : false, "suffix" : "" }, { "dropping-particle" : "", "family" : "Largier", "given" : "John L.", "non-dropping-particle" : "", "parse-names" : false, "suffix" : "" }, { "dropping-particle" : "", "family" : "Newton", "given" : "Jan A", "non-dropping-particle" : "", "parse-names" : false, "suffix" : "" }, { "dropping-particle" : "", "family" : "Pedersen", "given" : "T", "non-dropping-particle" : "", "parse-names" : false, "suffix" : "" }, { "dropping-particle" : "", "family" : "Somero", "given" : "G.N.", "non-dropping-particle" : "", "parse-names" : false, "suffix" : "" }, { "dropping-particle" : "", "family" : "Sutula", "given" : "M.", "non-dropping-particle" : "", "parse-names" : false, "suffix" : "" }, { "dropping-particle" : "", "family" : "Wakefield", "given" : "W.W.", "non-dropping-particle" : "", "parse-names" : false, "suffix" : "" }, { "dropping-particle" : "", "family" : "Waldbusser", "given" : "George G.", "non-dropping-particle" : "", "parse-names" : false, "suffix" : "" }, { "dropping-particle" : "", "family" : "Weisberg", "given" : "Stephen B.", "non-dropping-particle" : "", "parse-names" : false, "suffix" : "" }, { "dropping-particle" : "", "family" : "Whiteman", "given" : "E.", "non-dropping-particle" : "", "parse-names" : false, "suffix" : "" } ], "id" : "ITEM-2", "issued" : { "date-parts" : [ [ "2016" ] ] }, "number-of-pages" : "40", "publisher-place" : "Oakland, California", "title" : "The West Coast Ocean Acidification and Hypoxia Science Panel: Major Findings, Recommendations, and Actions", "type" : "report" }, "uris" : [ "http://www.mendeley.com/documents/?uuid=d2cf69ac-24e2-4736-ab80-5728a2f287b7" ] } ], "mendeley" : { "formattedCitation" : "(Chan et al., 2016; McLaughlin et al., 2015)", "plainTextFormattedCitation" : "(Chan et al., 2016; McLaughlin et al., 2015)", "previouslyFormattedCitation" : "(Chan et al., 2016; McLaughlin et al., 2015)" }, "properties" : { "noteIndex" : 0 }, "schema" : "https://github.com/citation-style-language/schema/raw/master/csl-citation.json" }</w:instrText>
      </w:r>
      <w:r>
        <w:fldChar w:fldCharType="separate"/>
      </w:r>
      <w:r w:rsidRPr="000447F9">
        <w:rPr>
          <w:noProof/>
        </w:rPr>
        <w:t>(Chan et al., 2016; McLaughlin et al., 2015)</w:t>
      </w:r>
      <w:r>
        <w:fldChar w:fldCharType="end"/>
      </w:r>
      <w:r>
        <w:t xml:space="preserve">. </w:t>
      </w:r>
    </w:p>
    <w:p w14:paraId="66E81F13" w14:textId="2AA4A7D7" w:rsidR="00005E12" w:rsidRDefault="00005E12" w:rsidP="00005E12">
      <w:r>
        <w:tab/>
        <w:t xml:space="preserve">Long-term observational data sets are also crucial for improving our process-based understanding of coastal ocean biogeochemistry. Data from studies such as these can be used to parameterize the process-based hydrodynamic-biogeochemical models that are needed to predict coastal ecosystem responses to climate change and </w:t>
      </w:r>
      <w:r w:rsidR="00326E63">
        <w:t xml:space="preserve">ocean </w:t>
      </w:r>
      <w:r w:rsidR="001E0C95">
        <w:t>acidification</w:t>
      </w:r>
      <w:r w:rsidR="00326E63">
        <w:t xml:space="preserve"> </w:t>
      </w:r>
      <w:r>
        <w:fldChar w:fldCharType="begin" w:fldLock="1"/>
      </w:r>
      <w:r>
        <w:instrText>ADDIN CSL_CITATION { "citationItems" : [ { "id" : "ITEM-1", "itemData" : { "author" : [ { "dropping-particle" : "", "family" : "Boehm", "given" : "A.B.", "non-dropping-particle" : "", "parse-names" : false, "suffix" : "" }, { "dropping-particle" : "", "family" : "Jacobson", "given" : "M.Z.", "non-dropping-particle" : "", "parse-names" : false, "suffix" : "" }, { "dropping-particle" : "", "family" : "O'Donnell", "given" : "Michael J.", "non-dropping-particle" : "", "parse-names" : false, "suffix" : "" }, { "dropping-particle" : "", "family" : "Sutula", "given" : "M.", "non-dropping-particle" : "", "parse-names" : false, "suffix" : "" }, { "dropping-particle" : "", "family" : "Wakefield", "given" : "W.W.", "non-dropping-particle" : "", "parse-names" : false, "suffix" : "" }, { "dropping-particle" : "", "family" : "Weisberg", "given" : "Stephen B.", "non-dropping-particle" : "", "parse-names" : false, "suffix" : "" }, { "dropping-particle" : "", "family" : "Whiteman", "given" : "E.", "non-dropping-particle" : "", "parse-names" : false, "suffix" : "" } ], "container-title" : "Oceanography", "id" : "ITEM-1", "issue" : "2", "issued" : { "date-parts" : [ [ "2015" ] ] }, "note" : "Boehm et al. 2015-Oceanography-Identification of science needs by NA west coast managers to address local effects of OA\n\nScience could be advanced to meet water quality manager needs through: development of more appropriate water quality standards-both the parameter and the threshold. All west coast states + BC currently use pH as a water quality standard. After establishing water quality standards, must establish permits for discharge that will meet water quality standards. Must develop models and that predict and quanitfy nutrient and OM discharge on pH dynamics and ranges. Models should be coupled physical-biogeochemical in order to model dilution and transport as well as biological transformations of discharges. Marine living resource managers aimed at trying to understand the impacts of OA on existing decision processes, rather than tyring to regulate water quality. Need to model OA impacts on fish organism and population dynamics. Coastal zone land managers benefit from models which predict where is most vulnerable to OA, where contributes most to local OA, and whether there are any cost-effective restoration and mitigation measures. Physical-biogeochemical models at land-sea interface useful not only for predicting hotsports, but also for scenario analysis. Ultimately all resource managers share a few common needs: 1) comprehensive monitoring 2) coastal mechanistic, process-based models that operate at relevant spatial and temporal scales to assess whether proposed actions will have desired effects 3) understanding which coastal areas are most or least vulnerable to OA", "page" : "170-181", "title" : "Ocean acidification science needs for natural resource managers of the North American west coast", "type" : "article-journal", "volume" : "28" }, "uris" : [ "http://www.mendeley.com/documents/?uuid=b46e87bf-1a9c-4c3a-bf12-e936e6ae9599" ] }, { "id" : "ITEM-2", "itemData" : { "DOI" : "http://dx.doi.org/10.5670/oceanog.2015.39", "ISSN" : "10428275", "author" : [ { "dropping-particle" : "", "family" : "McLaughlin", "given" : "Karen", "non-dropping-particle" : "", "parse-names" : false, "suffix" : "" }, { "dropping-particle" : "", "family" : "Weisberg", "given" : "Stephen B", "non-dropping-particle" : "", "parse-names" : false, "suffix" : "" }, { "dropping-particle" : "", "family" : "Dickson", "given" : "Andrew G.", "non-dropping-particle" : "", "parse-names" : false, "suffix" : "" }, { "dropping-particle" : "", "family" : "Hofmann", "given" : "Gretchen E.", "non-dropping-particle" : "", "parse-names" : false, "suffix" : "" }, { "dropping-particle" : "", "family" : "Newton", "given" : "Jan A", "non-dropping-particle" : "", "parse-names" : false, "suffix" : "" }, { "dropping-particle" : "", "family" : "Aseltine-Neilson", "given" : "Deborah", "non-dropping-particle" : "", "parse-names" : false, "suffix" : "" }, { "dropping-particle" : "", "family" : "Barton", "given" : "Alan", "non-dropping-particle" : "", "parse-names" : false, "suffix" : "" }, { "dropping-particle" : "", "family" : "Cudd", "given" : "Sue", "non-dropping-particle" : "", "parse-names" : false, "suffix" : "" }, { "dropping-particle" : "", "family" : "Feely", "given" : "Richard A", "non-dropping-particle" : "", "parse-names" : false, "suffix" : "" }, { "dropping-particle" : "", "family" : "Jefferds", "given" : "Ian W", "non-dropping-particle" : "", "parse-names" : false, "suffix" : "" }, { "dropping-particle" : "", "family" : "Jewett", "given" : "E.B.", "non-dropping-particle" : "", "parse-names" : false, "suffix" : "" }, { "dropping-particle" : "", "family" : "King", "given" : "T.", "non-dropping-particle" : "", "parse-names" : false, "suffix" : "" }, { "dropping-particle" : "", "family" : "Langdon", "given" : "C.J.", "non-dropping-particle" : "", "parse-names" : false, "suffix" : "" }, { "dropping-particle" : "", "family" : "McAfee", "given" : "S.", "non-dropping-particle" : "", "parse-names" : false, "suffix" : "" }, { "dropping-particle" : "", "family" : "Pleschner-Steele", "given" : "D.", "non-dropping-particle" : "", "parse-names" : false, "suffix" : "" }, { "dropping-particle" : "", "family" : "Steele", "given" : "B.", "non-dropping-particle" : "", "parse-names" : false, "suffix" : "" } ], "container-title" : "Oceanography", "id" : "ITEM-2", "issue" : "2", "issued" : { "date-parts" : [ [ "2015" ] ] }, "note" : "McLaughlin et al. 2015-Oceanography-Overview of the California Current Acidification Network (C-CAN)\nStill have a poor understanding of coastal feedback mechanisms, largely because we still don't have the models yet to understand the various factors. Need better monitoring data to build the models. Mismatch in chemical analyses and sampling locations make it difficult to match up biological data sets with traditional oceanographic data sets. Recommendations: 1. Measurements should allow for determinate of Omega_Ar and complete descripton of carbonate system 2. Limit uncertainty in Omega_Ar to +/- 0.2 units - to this end, recommend a consistent set of C system constants for use when calculating Omega_Ar. 3. Different types of measurement platforms: high frequency monitoring at single sites, synoptic mapping, and core vs. auxilliary measurements. 4. Linking chemical and physical data to biological data 5. Monitoring network should share data and make data accessible. This step is necessary to providing the necessary information to design proper experiments and develop predictive models. ", "page" : "160-169", "title" : "Core principles of the California Current Acidification Network: Linking chemistry, physics, and ecological effects", "type" : "article-journal", "volume" : "28" }, "uris" : [ "http://www.mendeley.com/documents/?uuid=2400b9c1-897f-46b0-8438-e1e50e31cfd7" ] } ], "mendeley" : { "formattedCitation" : "(Boehm et al., 2015; McLaughlin et al., 2015)", "plainTextFormattedCitation" : "(Boehm et al., 2015; McLaughlin et al., 2015)", "previouslyFormattedCitation" : "(Boehm et al., 2015; McLaughlin et al., 2015)" }, "properties" : { "noteIndex" : 0 }, "schema" : "https://github.com/citation-style-language/schema/raw/master/csl-citation.json" }</w:instrText>
      </w:r>
      <w:r>
        <w:fldChar w:fldCharType="separate"/>
      </w:r>
      <w:r w:rsidRPr="000447F9">
        <w:rPr>
          <w:noProof/>
        </w:rPr>
        <w:t>(Boehm et al., 2015; McLaughlin et al., 2015)</w:t>
      </w:r>
      <w:r>
        <w:fldChar w:fldCharType="end"/>
      </w:r>
      <w:r>
        <w:t xml:space="preserve">. These models can help identify climate change and/or </w:t>
      </w:r>
      <w:r w:rsidR="00326E63">
        <w:t xml:space="preserve">ocean </w:t>
      </w:r>
      <w:r w:rsidR="001E0C95">
        <w:t>acidification</w:t>
      </w:r>
      <w:r w:rsidR="00326E63">
        <w:t xml:space="preserve"> </w:t>
      </w:r>
      <w:r>
        <w:t xml:space="preserve">hotspots along coastal ecosystems in the future and help marine living resource managers with scenario planning so that they can direct resources accordingly </w:t>
      </w:r>
      <w:r>
        <w:fldChar w:fldCharType="begin" w:fldLock="1"/>
      </w:r>
      <w:r>
        <w:instrText>ADDIN CSL_CITATION { "citationItems" : [ { "id" : "ITEM-1", "itemData" : { "DOI" : "10.1093/biosci/biu072", "author" : [ { "dropping-particle" : "", "family" : "Strong", "given" : "Aaron L.", "non-dropping-particle" : "", "parse-names" : false, "suffix" : "" }, { "dropping-particle" : "", "family" : "Kroeker", "given" : "Kristy J.", "non-dropping-particle" : "", "parse-names" : false, "suffix" : "" }, { "dropping-particle" : "", "family" : "Teneva", "given" : "Lida T.", "non-dropping-particle" : "", "parse-names" : false, "suffix" : "" }, { "dropping-particle" : "", "family" : "Mease", "given" : "Lindley A.", "non-dropping-particle" : "", "parse-names" : false, "suffix" : "" }, { "dropping-particle" : "", "family" : "Kelly", "given" : "Ryan P.", "non-dropping-particle" : "", "parse-names" : false, "suffix" : "" } ], "container-title" : "Bioscience", "id" : "ITEM-1", "issue" : "7", "issued" : { "date-parts" : [ [ "2014" ] ] }, "note" : "Strong et al. 2014-Bioscience-Managing for OA at regional and local scales \n\u00a0\u00a0\u00a0\u00a0\u00a0\u00a0\u00a0\u00a0\u00a0\u00a0\u00a0 Difficult to manage coastal waters for OA because of overlapping jurisdictional authorities in the coastal zone. Environmental managers need to be able to relate changes in carbonate chemistry to changes in human livelihood. Two most dominant indirect drivers of acidification in coastal environments: eutrophication and riverine discharge. Also need to account for spatially variable upwelling, whose signature will be imprinted on top of eutrophication and riverine discharge. UNFCC has not adopted any treaty instruments to address OA. FOARAM creates interagency working group (IWG). IWG recommendations-&amp;gt;NOAA OA Program (OAP). California Ocean Science Trust-scientific advisory group formed by state law. COST-&amp;gt;West Coast Ocean Acidification and Hypoxia Science Panel. 9 recommendations for mitigating and adapting to OA in coastal environments. 1) Organize stakeholders to assess OA threats and plan for impacts-can be done in every state and doesn\u2019t cost much money. Can do so by leveraging existing organizations-make sure that those with OA under their purview are actually considering OA issues. Include OA planning in state-level coastal zone management plans as part of the Coastal Zone Management Act of 1972. Utilize existing laws to combat localized acidification using the Clean Water Act. \u00a0Force consideration of acidification impacts as part of the NEPA permitting process.", "page" : "581-592", "title" : "Ocean acidification 2.0: managing our changing coastal ocean chemistry", "type" : "article-journal", "volume" : "64" }, "uris" : [ "http://www.mendeley.com/documents/?uuid=32d5d900-4336-437b-9b70-d7baafdc7694" ] } ], "mendeley" : { "formattedCitation" : "(Strong et al., 2014)", "plainTextFormattedCitation" : "(Strong et al., 2014)", "previouslyFormattedCitation" : "(Strong et al., 2014)" }, "properties" : { "noteIndex" : 0 }, "schema" : "https://github.com/citation-style-language/schema/raw/master/csl-citation.json" }</w:instrText>
      </w:r>
      <w:r>
        <w:fldChar w:fldCharType="separate"/>
      </w:r>
      <w:r w:rsidRPr="000447F9">
        <w:rPr>
          <w:noProof/>
        </w:rPr>
        <w:t>(Strong et al., 2014)</w:t>
      </w:r>
      <w:r>
        <w:fldChar w:fldCharType="end"/>
      </w:r>
      <w:r>
        <w:t xml:space="preserve">. Similarly, marine resource managers must consider the biogeochemical implications of any management activities, such as </w:t>
      </w:r>
      <w:r w:rsidR="00F36657">
        <w:t xml:space="preserve">kelp </w:t>
      </w:r>
      <w:r>
        <w:t>harvesting, which alter kelp canopy density. We have shown considerable CO</w:t>
      </w:r>
      <w:r w:rsidRPr="00C27457">
        <w:rPr>
          <w:vertAlign w:val="subscript"/>
        </w:rPr>
        <w:t>2</w:t>
      </w:r>
      <w:r>
        <w:t xml:space="preserve"> uptake at our study site during periods of high kelp canopy cover. While we were not able to directly attribute the CO</w:t>
      </w:r>
      <w:r w:rsidRPr="00403065">
        <w:rPr>
          <w:vertAlign w:val="subscript"/>
        </w:rPr>
        <w:t>2</w:t>
      </w:r>
      <w:r>
        <w:t xml:space="preserve"> uptake to </w:t>
      </w:r>
      <w:r>
        <w:rPr>
          <w:i/>
        </w:rPr>
        <w:t>Macrocystis pyrifera</w:t>
      </w:r>
      <w:r>
        <w:t xml:space="preserve">, the direct and indirect effects of </w:t>
      </w:r>
      <w:r w:rsidR="00F36657">
        <w:t xml:space="preserve">the </w:t>
      </w:r>
      <w:r>
        <w:t xml:space="preserve">kelp canopy are likely to increase vertical gradients in water chemistry and therefore activities that decrease canopy density are likely to </w:t>
      </w:r>
      <w:r w:rsidR="00F36657">
        <w:t xml:space="preserve">reduce gradients in </w:t>
      </w:r>
      <w:r>
        <w:t xml:space="preserve">the water column.  </w:t>
      </w:r>
    </w:p>
    <w:p w14:paraId="71FD1908" w14:textId="77777777" w:rsidR="00005E12" w:rsidRDefault="00005E12" w:rsidP="00005E12">
      <w:r>
        <w:tab/>
        <w:t xml:space="preserve">Kelp forest ecology has long been a focal point for marine ecologists. This study complements the long history of kelp forest community </w:t>
      </w:r>
      <w:r>
        <w:fldChar w:fldCharType="begin" w:fldLock="1"/>
      </w:r>
      <w:r>
        <w:instrText>ADDIN CSL_CITATION { "citationItems" : [ { "id" : "ITEM-1", "itemData" : { "abstract" : "The giant kelp Macrocystis is the world\u2019s largest benthic organism and most widely distributed kelp taxon, serving as the foundation for diverse and energy-rich habitats that are of great ecological and economical importance. Although the basic and applied literature on Macro- cystis is extensive and multinational, studies of large Macrocystis forests in the northeastern Pacific have received the greatest attention. This review synthesises the existing Macrocystis literature into a more global perspective. During the last 20 yr, the primary literature has shifted from descriptive and experimental studies of local Macrocystis distribution, abundance and population and commu- nity structure (e.g., competition and herbivory) to comprehensive investigations of Macrocystis life history, dispersal, recruitment, physiology and broad-scale variability in population and community processes. Ample evidence now suggests that the genus is monospecific. Due to its highly variable physiology and life history, Macrocystis occupies a wide variety of environments (intertidal to 60+ m, boreal to warm temperate) and sporophytes take on a variety of morphological forms. Macrocystis sporophytes are highly responsive to environmental variability, resulting in differential population dynamics and effects of Macrocystis on its local environment. Within the large subtidal giant kelp forests of southern California, Macrocystis sporophytes live long, form extensive surface canopies that shade the substratum and dampen currents, and produce and retain copious amounts of reproductive propagules. The majority of subtidal Macrocystis populations worldwide, however, are small, narrow, fringing forests that are productive and modify environmental resources (e.g., light), yet are more dynamic than their large southern California counterparts with local recruitment probably resulting from remote propagule production. When intertidal, Macrocystis populations exhibit vegetative propagation. Growth of high-latitude Macrocystis sporophytes is seasonal, coin- cident with temporal variability in insolation, whereas growth at low latitudes tracks more episodic variability in nutrient delivery. Although Macrocystis habitat and energy provision varies with such ecotypic variability in morphology and productivity, the few available studies indicate that Macrocystis -associated communities are universally diverse and productive. Furthermore, temporal and spatial variability in the structure and dyn\u2026", "author" : [ { "dropping-particle" : "", "family" : "Graham", "given" : "Michael H.", "non-dropping-particle" : "", "parse-names" : false, "suffix" : "" }, { "dropping-particle" : "", "family" : "V\u00e1squez", "given" : "Julio A.", "non-dropping-particle" : "", "parse-names" : false, "suffix" : "" }, { "dropping-particle" : "", "family" : "Buschmann", "given" : "Alejandro H.", "non-dropping-particle" : "", "parse-names" : false, "suffix" : "" } ], "container-title" : "Oceanography and Marine Biology: An Annual Review", "editor" : [ { "dropping-particle" : "", "family" : "Gibson", "given" : "R.N.", "non-dropping-particle" : "", "parse-names" : false, "suffix" : "" }, { "dropping-particle" : "", "family" : "Atkinson", "given" : "R.J.A", "non-dropping-particle" : "", "parse-names" : false, "suffix" : "" }, { "dropping-particle" : "", "family" : "Gordon", "given" : "J.D.M.", "non-dropping-particle" : "", "parse-names" : false, "suffix" : "" } ], "id" : "ITEM-1", "issued" : { "date-parts" : [ [ "2007" ] ] }, "page" : "39-88", "publisher" : "Taylor and Francis", "title" : "Global ecology of the giant kelp Macrocystis: from ecotypes to ecosystems", "type" : "chapter", "volume" : "45" }, "uris" : [ "http://www.mendeley.com/documents/?uuid=c873f893-b519-4509-b540-faf04c66f036" ] }, { "id" : "ITEM-2", "itemData" : { "DOI" : "10.1146/annurev.es.16.110185.001243", "ISBN" : "0066-4162", "ISSN" : "0066-4162", "PMID" : "1321", "abstract" : "The shallow subtidal rocky habitats in most temperate coastal areas are con- spicuously dominated by large brown algae in the orders Laminariales and Fucales. These algae are commonly referred to as kelps, although the term technically refers to Laminariales only. Their high productivity and com- plicated biological structure make kelps especially important members of their communities. For this reason, these communities havc received a great deal of research, including one of the first scientific applications of diving (128). This review summarizes the status of research programs operating within very different scales and emphasizes the point that a real understanding of the processes under study must come from the proper perspective and integration of the other levels. A taxonomic account of the world\u2019s kelps is far too complex for the scope of this review, but Mann (146) has characterized the world\u2019s kelp forests by their dominant genera. Laminaria species are found in many parts of the world but dominate both sides of the Atlantic and the coasts of China and Japan. Ecklonia dominates some kelp forests in Australia, New Zealand, South Africa, and a few other southern hemisphere localities. The giant kelp, Macrocystis pyrifera, forms dense tbrests in many parts of the world including areas of the northeast Pacific, the southern shores of South America, many Southern Ocean islands, and isolated areas of South Africa, Australia, and New Zealand. Macrocystis pyriJora does not occur in the eastern Pacific area north of San Francisco, California; however, this northern region has the highest species diversity of kelps in the world (63), with Macrocystis integrifolia and Nereocystis, Alaria, Pterygophora, and Laminaria, among other conspicuous genera. *The US Government has the right to retain a nonexclusive, royalty-free license in and to any copyright covering this paper. 215 Annual Reviews www.annualreviews.org/aronline 216 DAYTON Annu. Rev. Ecol. Syst. 1985.16:215-245. Downloaded from arjournals.annualreviews.org by University of California - Santa Cruz on 07/03/06. For personal use only. The life cycle of all kelps consists of an alternation of generations between microscopic haploid gametophytes and large diploid sporophytes which pro- dhce reproductive sori, often on specialized sporophylls. Reduction division occurs in the sporangium, producing microscopic zoospores which are released to settle on the bottom and develop into male and female gametoph\u2026", "author" : [ { "dropping-particle" : "", "family" : "Dayton", "given" : "P K", "non-dropping-particle" : "", "parse-names" : false, "suffix" : "" } ], "container-title" : "Annual Review of Ecology and Systematics", "id" : "ITEM-2", "issue" : "1985", "issued" : { "date-parts" : [ [ "1985" ] ] }, "note" : "Dayton et al. 1985-Ann. Rev. Ecology and Systematics-kelp forest ecology \u00a0\u00a0\u00a0\u00a0\u00a0\u00a0\u00a0\u00a0\u00a0\u00a0\u00a0 \nMacrocystis pyrifera found along the CA coast as far north as SF, but not north of SF. Region north of SF has greatest kelp diversity in the world. Environmental factors for kelp: light, sedimentation, substrata, temperature, salinity, nutrients, and water motion. Kelp canopy deterioration when surface nitrate drops below 1uM. Taller canopies exploit light better. Lower canopies withstand wave stress better. Kelp forests forced by larger-scale oceanographic patterns and forcings.", "page" : "215-245", "title" : "Ecology of Kelp Communities", "type" : "article-journal", "volume" : "16" }, "uris" : [ "http://www.mendeley.com/documents/?uuid=0fe6ad25-63be-4f0c-8470-1d3d4d32a43a" ] } ], "mendeley" : { "formattedCitation" : "(Dayton, 1985; Graham et al., 2007)", "plainTextFormattedCitation" : "(Dayton, 1985; Graham et al., 2007)", "previouslyFormattedCitation" : "(Dayton, 1985; Graham et al., 2007)" }, "properties" : { "noteIndex" : 0 }, "schema" : "https://github.com/citation-style-language/schema/raw/master/csl-citation.json" }</w:instrText>
      </w:r>
      <w:r>
        <w:fldChar w:fldCharType="separate"/>
      </w:r>
      <w:r w:rsidRPr="000447F9">
        <w:rPr>
          <w:noProof/>
        </w:rPr>
        <w:t>(Dayton, 1985; Graham et al., 2007)</w:t>
      </w:r>
      <w:r>
        <w:fldChar w:fldCharType="end"/>
      </w:r>
      <w:r>
        <w:t xml:space="preserve"> and disturbance ecology </w:t>
      </w:r>
      <w:r>
        <w:fldChar w:fldCharType="begin" w:fldLock="1"/>
      </w:r>
      <w:r>
        <w:instrText>ADDIN CSL_CITATION { "citationItems" : [ { "id" : "ITEM-1", "itemData" : { "DOI" : "10.1007/s00442-003-1452-8", "ISBN" : "00298549", "ISSN" : "00298549", "PMID" : "14673640", "abstract" : "Recent discussions on scaling issues in ecology have emphasized that processes acting at a wide range of spatial and temporal scales influence ecosystems and thus there is no appropriate single scale at which ecological processes should be studied. This may be particularly true for environmental disturbances (e.g. El Ni\u00f1o) that occur over large geographic areas and encompass a wide range of scales relevant to ecosystem function. However, it may be possible to identify the scale(s) at which ecosystems are most strongly impacted by disturbances, and thus provide a measure by which their impacts can be most clearly described, by assessing scale-dependent changes in the patterns of variability in species abundance and distribution. This, in turn, may yield significant insight into the relative importance of the various forcing factors responsible for generating these impacts. The 1997-98 El Ni\u00f1o was one of the strongest El Ni\u00f1os ever recorded. I examined how this event impacted giant kelp populations in the northeast Pacific Ocean at 90 sites ranging from central Baja California, Mexico to central California, USA. These sites spanned the geographic range of giant kelp in the Northeast Pacific and were surveyed just before, immediately following, several months after, more than 1 year after, and nearly 2 years after the El Ni\u00f1o. I used a hierarchical sample design to compare these impacts at five spatial scales spanning six orders of magnitude, from a few meters to more than 1,000 km. Variance Components Analyses revealed that the El Ni\u00f1o shifted control over giant kelp abundance from factors acting at the scale of a few meters (local control) to factors operating over hundreds to thousands of kilometers (regional control). Moreover, El Ni\u00f1o resulted in the near-complete loss of all giant kelp throughout one-half of the species' range in the northeast Pacific Ocean. Giant kelp recovery following El Ni\u00f1o was far more complex and variable at multiple spatial scales, presumably driven by numerous factors acting at those scales. Recovery returned local control of giant kelp populations within 6 months in southern California, and within 2 years in Baja California.", "author" : [ { "dropping-particle" : "", "family" : "Edwards", "given" : "Matthew S.", "non-dropping-particle" : "", "parse-names" : false, "suffix" : "" } ], "container-title" : "Oecologia", "id" : "ITEM-1", "issue" : "3", "issued" : { "date-parts" : [ [ "2004" ] ] }, "page" : "436-447", "title" : "Estimating scale-dependency in disturbance impacts: El Ninos and giant kelp forests in the northeast Pacific", "type" : "article-journal", "volume" : "138" }, "uris" : [ "http://www.mendeley.com/documents/?uuid=6a9eb085-deee-4380-8b7d-bf188b8acbc0" ] }, { "id" : "ITEM-2", "itemData" : { "DOI" : "10.3354/meps320079", "ISBN" : "0171-8630", "ISSN" : "01718630", "abstract" : "The 1997-98 El Nino was one of the strongest on record and resulted in widespread losses of the giant kelp Macrocystis pyrifera (Agardh) along the west coast of North America. Drawing on a rich history of studies that have shown abnormally large waves and warm nutrient-poor water associated with El Ninos to negatively impact giant kelp populations at some locations in southern and Baja California, we examined (1) how these impacts scale up when considered across the species' geographic range in the NE Pacific Ocean and (2) if these impacts are generalizable over broad spatial scales. Working at 56 sites in 14 study locations over a 3 yr period (1997 to 2000), we examined how giant kelp populations were impacted by and recovered following the 1997-98 El Niho over a similar to 1500 km span along the west coast of North America. Our results indicate that while nearly all giant kelp disappeared from the southern one-third of the species' range along the coast of Baja California, Mexico, and heavy losses occurred throughout the central one-third of the species' range in southern California, USA, only minor impacts were observed throughout the northern one-third of the species' range in central California. Further, although highly variable among regions, these impacts were similar and generalizable among locations within each region. Our results also suggest that, as has been observed in local-scale studies, this large-scale variability in giant kelp mortality was driven by large-scale patterns in ocean temperature (nutrient concentration) and wave intensity. Recovery following El Niho, in contrast, was variable at multiple spatial scales and although not directly tested here, presumably influenced by numerous factors such as proximity to upwelling areas, competition with other algae, grazing, and propagule availability. Further, variability in the rates of recovery among locations resulted in a generally slow recovery of giant kelp throughout most of Baja California, and residual large-scale impacts of the El Niho were still evident 2 yr after the El Niho ended. As global climate change may lead to increases in the frequency and intensity of El Ninos, our findings have broad implications for the ways in which ecosystems might be expected to respond to them and provide a measure by which their impacts to giant kelp ecosystems may be compared among events.", "author" : [ { "dropping-particle" : "", "family" : "Edwards", "given" : "Matthew S.", "non-dropping-particle" : "", "parse-names" : false, "suffix" : "" }, { "dropping-particle" : "", "family" : "Estes", "given" : "James A.", "non-dropping-particle" : "", "parse-names" : false, "suffix" : "" } ], "container-title" : "Marine Ecology Progress Series", "id" : "ITEM-2", "issued" : { "date-parts" : [ [ "2006" ] ] }, "page" : "79-87", "title" : "Catastrophe, recovery and range limitation in NE Pacific kelp forests: A large-scale perspective", "type" : "article-journal", "volume" : "320" }, "uris" : [ "http://www.mendeley.com/documents/?uuid=99a62fb5-12b0-4dae-9cd7-3dc637b44dd5" ] } ], "mendeley" : { "formattedCitation" : "(Edwards, 2004; Edwards and Estes, 2006)", "plainTextFormattedCitation" : "(Edwards, 2004; Edwards and Estes, 2006)", "previouslyFormattedCitation" : "(Edwards, 2004; Edwards and Estes, 2006)" }, "properties" : { "noteIndex" : 0 }, "schema" : "https://github.com/citation-style-language/schema/raw/master/csl-citation.json" }</w:instrText>
      </w:r>
      <w:r>
        <w:fldChar w:fldCharType="separate"/>
      </w:r>
      <w:r w:rsidRPr="00B9631E">
        <w:rPr>
          <w:noProof/>
        </w:rPr>
        <w:t>(Edwards, 2004; Edwards and Estes, 2006)</w:t>
      </w:r>
      <w:r>
        <w:fldChar w:fldCharType="end"/>
      </w:r>
      <w:r>
        <w:t xml:space="preserve"> by highlighting the dynamic biogeochemistry of kelp forests over an annual cycle. The few existing biogeochemical studies of </w:t>
      </w:r>
      <w:r>
        <w:rPr>
          <w:i/>
        </w:rPr>
        <w:t>Macrocystis pyrifera-</w:t>
      </w:r>
      <w:r>
        <w:t xml:space="preserve">dominated kelp forest along the California coast have thus far occurred in southern California </w:t>
      </w:r>
      <w:r>
        <w:fldChar w:fldCharType="begin" w:fldLock="1"/>
      </w:r>
      <w:r>
        <w:instrText>ADDIN CSL_CITATION { "citationItems" : [ { "id" : "ITEM-1", "itemData" : { "DOI" : "10.5194/bg-9-3917-2012", "ISSN" : "1726-4189", "author" : [ { "dropping-particle" : "", "family" : "Frieder", "given" : "C. A.", "non-dropping-particle" : "", "parse-names" : false, "suffix" : "" }, { "dropping-particle" : "", "family" : "Nam", "given" : "S. H.", "non-dropping-particle" : "", "parse-names" : false, "suffix" : "" }, { "dropping-particle" : "", "family" : "Martz", "given" : "Todd R", "non-dropping-particle" : "", "parse-names" : false, "suffix" : "" }, { "dropping-particle" : "", "family" : "Levin", "given" : "L. A.", "non-dropping-particle" : "", "parse-names" : false, "suffix" : "" } ], "container-title" : "Biogeosciences", "id" : "ITEM-1", "issue" : "10", "issued" : { "date-parts" : [ [ "2012", "10", "12" ] ] }, "note" : "Frieder et al. 2012-Biogeosciences-Year long records of DO and pH from a southern California nearshore kelp forest \u00a0\u00a0\u00a0\u00a0\u00a0\u00a0\u00a0\u00a0\u00a0\u00a0\u00a0 \nWhat are the spatial and temporal dynamics of DO and pH in the Southern California Bight (SCB) kelp forest ecosystems? Multiple SeapHOx\u2019s deployed to measure depth, alongshore, and cross-shore pH and O2 variability. Depth variability: one seapHOx at 7m and one at 17m depth (me: is this too deep to catch most of the canopy effects?). Two most dominant modes of periodic variability: diurnal and semidiurnal. Semidiurnal variability in pH and O2 mostly physically forced (close correlation with temperature). Diurnal variability less physically forced (changes in pH and O2 decoupled from temperature=&amp;gt;more signature of metabolic activity). Event scale variability also observed (one-day to multiple weeks)-can drive increases or decreases in pH and O2. pH daily range ~0.1-0.2 units. ~0.2 unit decrease in pH from 7m depth to 17m depth. Near-surface (7m) measurements more variable than those at depth (17m) for\u00a0 DO, pH, and T. Greatest changes in event-scale DO due to changes in alongshore current from south heading to north heading. Small alongshore differences in pH and DO, strong differences in cross shore direction at 7m depth. Positive correlation between pH and O2 at both 7m and 17m, but correlation is stronger at 17m depth. Estimate pCO2 and omega using pH data and TA estimates-only have a few samples-using max and min values from those samples to calculate C system variables. Bottom water pCO2 approaching 1000 ppm, Omega_Ar approaching, but not going lower, than 1. Study highlights the importance of alongshore currents for DO and pH variability.", "page" : "3917-3930", "title" : "High temporal and spatial variability of dissolved oxygen and pH in a nearshore California kelp forest", "type" : "article-journal", "volume" : "9" }, "uris" : [ "http://www.mendeley.com/documents/?uuid=7717eef2-6302-4c4b-ab46-492a8a93e19d" ] }, { "id" : "ITEM-2", "itemData" : { "DOI" : "10.1002/lno.10264", "ISSN" : "00243590", "author" : [ { "dropping-particle" : "", "family" : "Kapsenberg", "given" : "Lydia", "non-dropping-particle" : "", "parse-names" : false, "suffix" : "" }, { "dropping-particle" : "", "family" : "Hofmann", "given" : "Gretchen E.", "non-dropping-particle" : "", "parse-names" : false, "suffix" : "" } ], "container-title" : "Limnology and Oceanography", "id" : "ITEM-2", "issued" : { "date-parts" : [ [ "2016" ] ] }, "note" : "SeapHOx time series data from the SBC LTER. Sites across the channel islands - range &amp;gt;50 km between some sites. Sensors deployed across three SBC islands-Anacapa (kelp forest), Santa Cruz (eelgrass), and San Miguel (sandy bottom) (spanning gradient from east to west). Anacapa and Santa Cruz sensors deployed in 3-4 m depth (~1 mab). San Miguel sensor deployed in ~6 m depth (12 meters above sandy bottom). Lots of interannual variability in pH and T, especially at the more sheltered sites (Anacapa and Santa Cruz). Most pronounced diel pH cycle above the eelgrass (Santa Cruz) as compared to the kelp forest (Anacapa) and the open sandy bottom (San Miguel). Phytoplankton blooms capable of increasing pH by 0.1-0.2 units at all island sites.", "page" : "n/a-n/a", "title" : "Ocean pH time-series and drivers of variability along the northern Channel Islands, California, USA", "type" : "article-journal" }, "uris" : [ "http://www.mendeley.com/documents/?uuid=43913252-9ea3-46fe-b8e0-3c5ca1dd246f" ] }, { "id" : "ITEM-3", "itemData" : { "DOI" : "10.5194/bg-12-5853-2015", "author" : [ { "dropping-particle" : "", "family" : "Takeshita", "given" : "Y", "non-dropping-particle" : "", "parse-names" : false, "suffix" : "" }, { "dropping-particle" : "", "family" : "Frieder", "given" : "C A", "non-dropping-particle" : "", "parse-names" : false, "suffix" : "" }, { "dropping-particle" : "", "family" : "Martz", "given" : "T R", "non-dropping-particle" : "", "parse-names" : false, "suffix" : "" }, { "dropping-particle" : "", "family" : "Ballard", "given" : "J R", "non-dropping-particle" : "", "parse-names" : false, "suffix" : "" }, { "dropping-particle" : "", "family" : "Feely", "given" : "R A", "non-dropping-particle" : "", "parse-names" : false, "suffix" : "" }, { "dropping-particle" : "", "family" : "Kram", "given" : "S", "non-dropping-particle" : "", "parse-names" : false, "suffix" : "" }, { "dropping-particle" : "", "family" : "Nam", "given" : "S", "non-dropping-particle" : "", "parse-names" : false, "suffix" : "" }, { "dropping-particle" : "", "family" : "Navarro", "given" : "M O", "non-dropping-particle" : "", "parse-names" : false, "suffix" : "" }, { "dropping-particle" : "", "family" : "Price", "given" : "Nichole N.", "non-dropping-particle" : "", "parse-names" : false, "suffix" : "" }, { "dropping-particle" : "", "family" : "Smith", "given" : "Jennifer E.", "non-dropping-particle" : "", "parse-names" : false, "suffix" : "" } ], "container-title" : "Biogeosciences", "id" : "ITEM-3", "issued" : { "date-parts" : [ [ "2015" ] ] }, "note" : "Takeshita et al. 2015- Biogeosciences-CO2 system variaibility in Southern CA Bight using sensor data and model projections\nAcidification of CCS expected to be greater b/c of reducing buffering capacity at higher CO2 levels. ROMS models good for resolving processes along the CA coast, but 5km grid resolution is not enough to capture habitat-level CO2 chemistry (and hence sensitivity to OA). Can turn to autonomous sensors to understand habitat-level CO2 variability and OA. Study combines autonomous sensor data, empiricial CO2 system relationships, hydrographic data, and atmospheric CO2 forcing to model habitat specific CO2 signatures and trajectories.", "page" : "5853-5870", "title" : "Including high-frequency variability in coastal ocean acidification projections", "type" : "article-journal", "volume" : "12" }, "uris" : [ "http://www.mendeley.com/documents/?uuid=8fd9de92-b044-411a-8aa7-866a1ca34ad0" ] } ], "mendeley" : { "formattedCitation" : "(Frieder et al., 2012; Kapsenberg and Hofmann, 2016; Takeshita et al., 2015)", "plainTextFormattedCitation" : "(Frieder et al., 2012; Kapsenberg and Hofmann, 2016; Takeshita et al., 2015)", "previouslyFormattedCitation" : "(Frieder et al., 2012; Kapsenberg and Hofmann, 2016; Takeshita et al., 2015)" }, "properties" : { "noteIndex" : 0 }, "schema" : "https://github.com/citation-style-language/schema/raw/master/csl-citation.json" }</w:instrText>
      </w:r>
      <w:r>
        <w:fldChar w:fldCharType="separate"/>
      </w:r>
      <w:r w:rsidRPr="000447F9">
        <w:rPr>
          <w:noProof/>
        </w:rPr>
        <w:t>(Frieder et al., 2012; Kapsenberg and Hofmann, 2016; Takeshita et al., 2015)</w:t>
      </w:r>
      <w:r>
        <w:fldChar w:fldCharType="end"/>
      </w:r>
      <w:r>
        <w:t>. This study expands on the southern California studies by adding the first fully resolving CO</w:t>
      </w:r>
      <w:r w:rsidRPr="00973FC3">
        <w:rPr>
          <w:vertAlign w:val="subscript"/>
        </w:rPr>
        <w:t>2</w:t>
      </w:r>
      <w:r>
        <w:t xml:space="preserve"> system chemistry study in a central California kelp forest where seasonality is relatively stronger and kelp cover is more variable </w:t>
      </w:r>
      <w:r>
        <w:fldChar w:fldCharType="begin" w:fldLock="1"/>
      </w:r>
      <w:r>
        <w:instrText>ADDIN CSL_CITATION { "citationItems" : [ { "id" : "ITEM-1", "itemData" : { "ISSN" : "0012-9658", "PMID" : "22164835", "abstract" : "We took advantage of regional differences in environmental forcing and consumer abundance to examine the relative importance of nutrient availability (bottom-up), grazing pressure (top-down), and storm waves (disturbance) in determining the standing biomass and net primary production (NPP) of the giant kelp Macrocystis pyrifera in central and southern California. Using a nine-year data set collected from 17 sites we show that, despite high densities of sea urchin grazers and prolonged periods of low nutrient availability in southern California, NPP by giant kelp was twice that of central California where nutrient concentrations were consistently high and sea urchins were nearly absent due to predation by sea otters. Waves associated with winter storms were consistently higher in central California, and the loss of kelp biomass to winter wave disturbance was on average twice that of southern California. These observations suggest that the more intense wave disturbance in central California limited NPP by giant kelp under otherwise favorable conditions. Regional patterns of interannual variation in NPP were similar to those of wave disturbance in that year-to-year variation in disturbance and NPP were both greater in southern California. Our findings provide strong evidence that regional differences in wave disturbance overwhelmed those of nutrient supply and grazing intensity to determine NPP by giant kelp. The important role of disturbance in controlling NPP revealed by our study is likely not unique to giant kelp forests, as vegetation dynamics in many systems are dominated by post-disturbance succession with climax communities being relatively uncommon. The effects of disturbance frequency may be easier to detect in giant kelp because it is fast growing and relatively short lived, with cycles of disturbance and recovery occurring on time scales of years. Much longer data sets (decades to centuries) will likely be needed to properly evaluate the role of disturbance relative to other processes in determining patterns of NPP in other systems.", "author" : [ { "dropping-particle" : "", "family" : "Reed", "given" : "Daniel C.", "non-dropping-particle" : "", "parse-names" : false, "suffix" : "" }, { "dropping-particle" : "", "family" : "Rassweiler", "given" : "Andrew", "non-dropping-particle" : "", "parse-names" : false, "suffix" : "" }, { "dropping-particle" : "", "family" : "Carr", "given" : "Mark H", "non-dropping-particle" : "", "parse-names" : false, "suffix" : "" }, { "dropping-particle" : "", "family" : "Cavanaugh", "given" : "Kyle C.", "non-dropping-particle" : "", "parse-names" : false, "suffix" : "" }, { "dropping-particle" : "", "family" : "Malone", "given" : "Daniel P.", "non-dropping-particle" : "", "parse-names" : false, "suffix" : "" }, { "dropping-particle" : "", "family" : "Siegel", "given" : "David A.", "non-dropping-particle" : "", "parse-names" : false, "suffix" : "" } ], "container-title" : "Ecology", "id" : "ITEM-1", "issue" : "11", "issued" : { "date-parts" : [ [ "2011", "11" ] ] }, "note" : "Reed et al.\u00a0 2011-Ecology-Top-down vs. bottom up controls on biomass and NPP in a Southern CA kelp forest \n\u00a0\u00a0\u00a0\u00a0\u00a0\u00a0\u00a0\u00a0\u00a0\u00a0\u00a0 Physical disturbances superimposed upon the balance of top-down and bottom-up controls on NPP in an ecosystem. Study utilizes natural gradients in environmental forcings and predator densities along kelp forests off the CA coast as a natural laboratory in order to understand the relative importances of top-down, bottom-up, and physical disturbance controls on structuring ecosystem productivity. If only top-down and bottom-up controls were important in kelp forests (i.e. no physical disturbance), would expect to find central CA more productive than southern CA due to the presence of sea otters (predates on sea urchins) and more nutrients. But did not find these patterns=&amp;gt;ecosystems structure by more than just top-down and bottom-up controls. Found that central CA was less productive due to increased storm disturbance. Largest waves in winter and smallest waves in summer. Wave removal of kelp forest canopy in central CA was both stronger and less variable than that in southern CA. The influence of wave action led to greater annual NPP in southern CA (~2.25 kg dry mass/m^2/yr) than that in central CA (~1.25 kg dry mass/m^2/yr). Macrocystis pyrifera more susceptible to wave action because it forms giant canopies near the surface=&amp;gt;tremendous drag (not true of other kelp species or other smaller primary producers in the understory of kelp forests).", "page" : "2108-16", "title" : "Wave disturbance overwhelms top-down and bottom-up control of primary production in California kelp forests.", "type" : "article-journal", "volume" : "92" }, "uris" : [ "http://www.mendeley.com/documents/?uuid=df49abe7-5af1-490a-a50d-b8a090b0ae73" ] }, { "id" : "ITEM-2", "itemData" : { "DOI" : "10.1016/j.pocean.2009.07.028", "ISBN" : "00796611", "ISSN" : "00796611", "abstract" : "The California Current System (CCS) is forced by the distribution of atmospheric pressure and associated winds in relation to the west coast of North America. In this paper, we begin with a simplified case of winds and a linear coast, then consider variability characteristic of the CCS, and conclude by considering future change. The CCS extends from the North Pacific Current (???50??N) to off Baja California, Mexico (???15-25??N) with a major discontinuity at Point Conception (34.5??N). Variation in atmospheric pressure affects winds and thus upwelling. Coastal, wind-driven upwelling results in nutrification and biological production and a southward coastal jet. Offshore, curl-driven upwelling results in a spatially large, productive habitat. The California Current flows equatorward and derives from the North Pacific Current and the coastal jet. Dominant modes of spatial and temporal variability in physical processes and biological responses are discussed. High surface production results in deep and bottom waters depleted in oxygen and enriched in carbon dioxide. Fishing has depleted demersal stocks more than pelagic stocks, and marine mammals, including whales, are recovering. Krill, squid, and micronekton are poorly known and merit study. Future climate change will differ from past change and thus prediction of the CCS requires an understanding of its dynamics. Of particular concern are changes in winds, stratification, and ocean chemistry. ?? 2009 Elsevier Ltd. All rights reserved.", "author" : [ { "dropping-particle" : "", "family" : "Checkley", "given" : "David M.", "non-dropping-particle" : "", "parse-names" : false, "suffix" : "" }, { "dropping-particle" : "", "family" : "Barth", "given" : "John A.", "non-dropping-particle" : "", "parse-names" : false, "suffix" : "" } ], "container-title" : "Progress in Oceanography", "id" : "ITEM-2", "issued" : { "date-parts" : [ [ "2009" ] ] }, "page" : "49-64", "publisher" : "Elsevier Ltd", "title" : "Patterns and processes in the California Current System", "type" : "article-journal", "volume" : "83" }, "uris" : [ "http://www.mendeley.com/documents/?uuid=99c38be1-6b6d-47cc-b35e-d7d9192154fa" ] }, { "id" : "ITEM-3", "itemData" : { "DOI" : "10.1016/j.rse.2015.05.003", "ISBN" : "0034-4257", "ISSN" : "00344257", "abstract" : "This study examines the potential of the Hyperspectral Infrared Imager (HyspIRI) mission for monitoring the biomass and physiological condition of giant kelp forests on local to global scales. Giant kelp is a highly dynamic foundation species that supports an ecologically and economically important ecosystem found throughout the globe. Satellite, airborne, and field data are used to evaluate the suitability of HyspIRI's spatial, temporal, and spectral coverage for capturing variability in giant kelp biomass and physiological state. We analyze a 28-year time series of giant kelp biomass derived from Landsat satellite imagery in order to identify the dominant temporal modes of variability in giant kelp biomass using the California coast as a model region likely to be relevant to other regions of the globe. Temporal variability in California kelp canopy biomass is compared to the expected availability of cloud-free HyspIRI Visible Shortwave Infrared (VSWIR) views for regions of the world that contain giant kelp populations. Spectral variability is explored by assessing how changes in the physiological condition of giant kelp canopy are exhibited in the reflectance and transmittance of kelp fronds. We compare chlorophyll a to carbon ratios (Chl:C) of kelp fronds collected off the coast of California to laboratory and airborne measurements of hyperspectral reflectance in order to develop metrics of kelp physiological condition. The seasonal cycle dominates giant kelp canopy biomass temporal variability. However, the strength and timing of this cycle varies in both space and time. Our projections of cloud-free HyspIRI coverage indicate that the sensor will be able to capture at least 1 cloud free view each season for nearly all of the global giant kelp habitats, thereby illustrating that HyspIRI will resolve the dominant seasonal cycles in giant kelp biomass. A novel spectral index developed here from field observations explained 76% of the variance in Chl:C and was applied to hyperspectral aircraft observations. These results demonstrate that the spatial, temporal, and spectral coverage provided by HyspIRI has the potential to provide new insights into the ecology and biophysiology of giant kelp.", "author" : [ { "dropping-particle" : "", "family" : "Bell", "given" : "Tom W.", "non-dropping-particle" : "", "parse-names" : false, "suffix" : "" }, { "dropping-particle" : "", "family" : "Cavanaugh", "given" : "Kyle C.", "non-dropping-particle" : "", "parse-names" : false, "suffix" : "" }, { "dropping-particle" : "", "family" : "Siegel", "given" : "David A.", "non-dropping-particle" : "", "parse-names" : false, "suffix" : "" } ], "container-title" : "Remote Sensing of Environment", "id" : "ITEM-3", "issued" : { "date-parts" : [ [ "2015" ] ] }, "page" : "218-228", "publisher" : "Elsevier Inc.", "title" : "Remote monitoring of giant kelp biomass and physiological condition: An evaluation of the potential for the Hyperspectral Infrared Imager (HyspIRI) mission", "type" : "article-journal", "volume" : "167" }, "uris" : [ "http://www.mendeley.com/documents/?uuid=2a7bf520-12b8-4d53-b623-9e7178362efa" ] } ], "mendeley" : { "formattedCitation" : "(Bell et al., 2015b; Checkley and Barth, 2009; Reed et al., 2011)", "plainTextFormattedCitation" : "(Bell et al., 2015b; Checkley and Barth, 2009; Reed et al., 2011)", "previouslyFormattedCitation" : "(Bell et al., 2015b; Checkley and Barth, 2009; Reed et al., 2011)" }, "properties" : { "noteIndex" : 0 }, "schema" : "https://github.com/citation-style-language/schema/raw/master/csl-citation.json" }</w:instrText>
      </w:r>
      <w:r>
        <w:fldChar w:fldCharType="separate"/>
      </w:r>
      <w:r w:rsidRPr="000447F9">
        <w:rPr>
          <w:noProof/>
        </w:rPr>
        <w:t>(Bell et al., 2015b; Checkley and Barth, 2009; Reed et al., 2011)</w:t>
      </w:r>
      <w:r>
        <w:fldChar w:fldCharType="end"/>
      </w:r>
      <w:r>
        <w:t xml:space="preserve">. </w:t>
      </w:r>
    </w:p>
    <w:p w14:paraId="0DC0F052" w14:textId="15B62EC9" w:rsidR="005D6F9F" w:rsidRDefault="00005E12" w:rsidP="00005E12">
      <w:r>
        <w:tab/>
        <w:t>We hope that the large data set presented here motivates the inclusion of biogeochemistry as a new approach to understand kelp forest ecosystem function and the feedbacks between biology, chemistry, and physics in these dynamic systems. We note that this study would not have been possible without a large and concerted field effort to establish a spatially expansive sampling program that ranged over gradients in kelp density and wave exposure. Yet this sampling program was necessary to generate insights into the relevant scales of kelp forest biogeochemical variability presented in this study, variability that could not be discerned from a single sampling point or sensor alone. We advocate for monitoring efforts to extend beyond single site measurements within a kelp forest. Doing so will enhance our understanding of the biological and physical mechanisms giving rise to the observed biogeochemical variability; information crucial to accurately predicting the response of kelp forest ecosystems to global change.</w:t>
      </w:r>
    </w:p>
    <w:p w14:paraId="6C669F6C" w14:textId="072A15A7" w:rsidR="00D45934" w:rsidRDefault="00D45934" w:rsidP="002043C1">
      <w:pPr>
        <w:pStyle w:val="Heading1"/>
        <w:spacing w:line="360" w:lineRule="auto"/>
      </w:pPr>
      <w:r>
        <w:lastRenderedPageBreak/>
        <w:t>Supplement and Data Availability</w:t>
      </w:r>
    </w:p>
    <w:p w14:paraId="0F833C70" w14:textId="1F1D9227" w:rsidR="00D45934" w:rsidRDefault="00F84096" w:rsidP="002043C1">
      <w:r>
        <w:t>Supporting figures and tables can be found in the</w:t>
      </w:r>
      <w:r w:rsidR="00D45934">
        <w:t xml:space="preserve"> supplement to this </w:t>
      </w:r>
      <w:r>
        <w:t>study</w:t>
      </w:r>
      <w:r w:rsidR="00D45934">
        <w:t>. Data presented in this study are also available in the supplement.</w:t>
      </w:r>
    </w:p>
    <w:p w14:paraId="39D346C2" w14:textId="51755C3E" w:rsidR="00005E12" w:rsidRDefault="00D45934" w:rsidP="002043C1">
      <w:pPr>
        <w:pStyle w:val="Heading1"/>
        <w:spacing w:line="360" w:lineRule="auto"/>
      </w:pPr>
      <w:r>
        <w:t>Conflict of Interest</w:t>
      </w:r>
    </w:p>
    <w:p w14:paraId="3FB6767B" w14:textId="0EFB9A3F" w:rsidR="00D45934" w:rsidRDefault="00D45934" w:rsidP="002043C1">
      <w:r>
        <w:t>The authors declare no conflict of interest</w:t>
      </w:r>
    </w:p>
    <w:p w14:paraId="3FC079CC" w14:textId="261CC937" w:rsidR="00D45934" w:rsidRPr="00D45934" w:rsidRDefault="00D45934" w:rsidP="0080319A">
      <w:pPr>
        <w:pStyle w:val="Heading1"/>
      </w:pPr>
      <w:r>
        <w:t>Acknowledgements</w:t>
      </w:r>
    </w:p>
    <w:p w14:paraId="798FEDB7" w14:textId="1B79D45D" w:rsidR="0080319A" w:rsidRDefault="0021306A" w:rsidP="002043C1">
      <w:r>
        <w:t xml:space="preserve">We thank two anonymous reviewers for their thoughtful reviews that improved this paper. </w:t>
      </w:r>
      <w:r w:rsidR="0080319A" w:rsidRPr="008F096A">
        <w:t xml:space="preserve">Heidi Hirsh and Hans </w:t>
      </w:r>
      <w:proofErr w:type="spellStart"/>
      <w:r w:rsidR="0080319A" w:rsidRPr="008F096A">
        <w:t>DeJong</w:t>
      </w:r>
      <w:proofErr w:type="spellEnd"/>
      <w:r w:rsidR="0080319A" w:rsidRPr="008F096A">
        <w:t xml:space="preserve"> provided laboratory assistance. Kristin </w:t>
      </w:r>
      <w:proofErr w:type="spellStart"/>
      <w:r w:rsidR="0080319A" w:rsidRPr="008F096A">
        <w:t>Elsmore</w:t>
      </w:r>
      <w:proofErr w:type="spellEnd"/>
      <w:r w:rsidR="0080319A" w:rsidRPr="008F096A">
        <w:t xml:space="preserve">, Ana Guerra, Jesse </w:t>
      </w:r>
      <w:proofErr w:type="spellStart"/>
      <w:r w:rsidR="0080319A" w:rsidRPr="008F096A">
        <w:t>Lafian</w:t>
      </w:r>
      <w:proofErr w:type="spellEnd"/>
      <w:r w:rsidR="0080319A" w:rsidRPr="008F096A">
        <w:t xml:space="preserve">, Diana </w:t>
      </w:r>
      <w:proofErr w:type="spellStart"/>
      <w:r w:rsidR="0080319A" w:rsidRPr="008F096A">
        <w:t>LaScala-Gruenewald</w:t>
      </w:r>
      <w:proofErr w:type="spellEnd"/>
      <w:r w:rsidR="0080319A" w:rsidRPr="008F096A">
        <w:t xml:space="preserve">, </w:t>
      </w:r>
      <w:proofErr w:type="spellStart"/>
      <w:r w:rsidR="0080319A" w:rsidRPr="008F096A">
        <w:t>Lupita</w:t>
      </w:r>
      <w:proofErr w:type="spellEnd"/>
      <w:r w:rsidR="0080319A" w:rsidRPr="008F096A">
        <w:t xml:space="preserve"> Ruiz-Jones, Drew Simon, and Tim White provided field assistance. </w:t>
      </w:r>
      <w:proofErr w:type="spellStart"/>
      <w:r w:rsidR="0080319A" w:rsidRPr="008F096A">
        <w:t>Fio</w:t>
      </w:r>
      <w:proofErr w:type="spellEnd"/>
      <w:r w:rsidR="0080319A" w:rsidRPr="008F096A">
        <w:t xml:space="preserve"> </w:t>
      </w:r>
      <w:proofErr w:type="spellStart"/>
      <w:r w:rsidR="0080319A" w:rsidRPr="008F096A">
        <w:t>Micheli</w:t>
      </w:r>
      <w:proofErr w:type="spellEnd"/>
      <w:r w:rsidR="0080319A" w:rsidRPr="008F096A">
        <w:t xml:space="preserve"> provided laboratory facilities to use in support of this project. Bill </w:t>
      </w:r>
      <w:proofErr w:type="spellStart"/>
      <w:r w:rsidR="0080319A" w:rsidRPr="008F096A">
        <w:t>Gilly</w:t>
      </w:r>
      <w:proofErr w:type="spellEnd"/>
      <w:r w:rsidR="0080319A" w:rsidRPr="008F096A">
        <w:t xml:space="preserve"> provided the use of the CTD in this study. Conversations with </w:t>
      </w:r>
      <w:r w:rsidR="0080319A">
        <w:t xml:space="preserve">Andreas </w:t>
      </w:r>
      <w:proofErr w:type="spellStart"/>
      <w:r w:rsidR="0080319A">
        <w:t>Andersson</w:t>
      </w:r>
      <w:proofErr w:type="spellEnd"/>
      <w:r w:rsidR="0080319A">
        <w:t xml:space="preserve">, Kevin </w:t>
      </w:r>
      <w:proofErr w:type="spellStart"/>
      <w:r w:rsidR="0080319A">
        <w:t>Arrigo</w:t>
      </w:r>
      <w:proofErr w:type="spellEnd"/>
      <w:r w:rsidR="0080319A">
        <w:t xml:space="preserve">, Tyler </w:t>
      </w:r>
      <w:proofErr w:type="spellStart"/>
      <w:r w:rsidR="0080319A">
        <w:t>Cyronak</w:t>
      </w:r>
      <w:proofErr w:type="spellEnd"/>
      <w:r w:rsidR="0080319A">
        <w:t xml:space="preserve">, Stephen </w:t>
      </w:r>
      <w:proofErr w:type="spellStart"/>
      <w:r w:rsidR="0080319A">
        <w:t>Monismith</w:t>
      </w:r>
      <w:proofErr w:type="spellEnd"/>
      <w:r w:rsidR="0080319A">
        <w:t xml:space="preserve">, and </w:t>
      </w:r>
      <w:proofErr w:type="spellStart"/>
      <w:r w:rsidR="0080319A">
        <w:t>Yui</w:t>
      </w:r>
      <w:proofErr w:type="spellEnd"/>
      <w:r w:rsidR="0080319A">
        <w:t xml:space="preserve"> </w:t>
      </w:r>
      <w:proofErr w:type="spellStart"/>
      <w:r w:rsidR="0080319A">
        <w:t>Takeshita</w:t>
      </w:r>
      <w:proofErr w:type="spellEnd"/>
      <w:r w:rsidR="0080319A">
        <w:t xml:space="preserve"> </w:t>
      </w:r>
      <w:r w:rsidR="0080319A" w:rsidRPr="008F096A">
        <w:t xml:space="preserve">improved this study. The School of Earth, Energy, and Environmental Sciences and the Marine Life Observatory of Stanford University supported this project. </w:t>
      </w:r>
      <w:proofErr w:type="gramStart"/>
      <w:r w:rsidR="0080319A" w:rsidRPr="008F096A">
        <w:t>DAK and PRL were supported by NSF Graduate Research Fellowships (DGE-114747)</w:t>
      </w:r>
      <w:proofErr w:type="gramEnd"/>
      <w:r w:rsidR="0080319A" w:rsidRPr="008F096A">
        <w:t xml:space="preserve">. </w:t>
      </w:r>
      <w:proofErr w:type="gramStart"/>
      <w:r w:rsidR="0080319A" w:rsidRPr="008F096A">
        <w:t xml:space="preserve">KJN </w:t>
      </w:r>
      <w:r w:rsidR="0080319A">
        <w:t>was</w:t>
      </w:r>
      <w:r w:rsidR="0080319A" w:rsidRPr="008F096A">
        <w:t xml:space="preserve"> supported by the Marine Life Observatory of Hopkins Marine Station</w:t>
      </w:r>
      <w:proofErr w:type="gramEnd"/>
      <w:r w:rsidR="0080319A" w:rsidRPr="008F096A">
        <w:t xml:space="preserve">. </w:t>
      </w:r>
      <w:proofErr w:type="gramStart"/>
      <w:r w:rsidR="0080319A" w:rsidRPr="008F096A">
        <w:t xml:space="preserve">SYL was </w:t>
      </w:r>
      <w:r w:rsidR="0080319A">
        <w:t xml:space="preserve">supported by the Marine Life Observatory of Hopkins Marine Station and the </w:t>
      </w:r>
      <w:r w:rsidR="0080319A" w:rsidRPr="008F096A">
        <w:rPr>
          <w:color w:val="000000"/>
          <w:shd w:val="clear" w:color="auto" w:fill="FFFFFF"/>
        </w:rPr>
        <w:t>NSF O</w:t>
      </w:r>
      <w:r w:rsidR="00E5632E">
        <w:rPr>
          <w:color w:val="000000"/>
          <w:shd w:val="clear" w:color="auto" w:fill="FFFFFF"/>
        </w:rPr>
        <w:t>cean Acidification Program (OCE-</w:t>
      </w:r>
      <w:r w:rsidR="0080319A" w:rsidRPr="008F096A">
        <w:rPr>
          <w:color w:val="000000"/>
          <w:shd w:val="clear" w:color="auto" w:fill="FFFFFF"/>
        </w:rPr>
        <w:t>1416934)</w:t>
      </w:r>
      <w:proofErr w:type="gramEnd"/>
      <w:r w:rsidR="0080319A">
        <w:t xml:space="preserve">. </w:t>
      </w:r>
      <w:r w:rsidR="0080319A" w:rsidRPr="009E7DA4">
        <w:t>TWB was supported through the NASA Earth and Space Science Fellowship</w:t>
      </w:r>
      <w:r w:rsidR="0080319A">
        <w:t>.</w:t>
      </w:r>
      <w:r w:rsidR="0080319A" w:rsidRPr="00BA26B8">
        <w:t xml:space="preserve"> </w:t>
      </w:r>
      <w:proofErr w:type="gramStart"/>
      <w:r w:rsidR="0080319A">
        <w:t>The satellite-derived canopy biomass estimates were supported by NSF</w:t>
      </w:r>
      <w:proofErr w:type="gramEnd"/>
      <w:r w:rsidR="0080319A">
        <w:t xml:space="preserve"> through its support of the Santa Barbara Co</w:t>
      </w:r>
      <w:r w:rsidR="00E5632E">
        <w:t>astal LTER (OCE-0620276 and OCE-</w:t>
      </w:r>
      <w:r w:rsidR="0080319A">
        <w:t xml:space="preserve">1232779). This research was conducted under Monterey Bay National Marine Sanctuary permit number </w:t>
      </w:r>
      <w:r w:rsidR="0080319A" w:rsidRPr="00954817">
        <w:t>MBNMS-2010-002-A2</w:t>
      </w:r>
      <w:r w:rsidR="0080319A">
        <w:t>.</w:t>
      </w:r>
    </w:p>
    <w:p w14:paraId="730743EA" w14:textId="77777777" w:rsidR="0080319A" w:rsidRDefault="0080319A" w:rsidP="0080319A">
      <w:pPr>
        <w:pStyle w:val="Heading1"/>
      </w:pPr>
      <w:r>
        <w:t>References</w:t>
      </w:r>
    </w:p>
    <w:p w14:paraId="79F07A11" w14:textId="5834BD60" w:rsidR="00C11B45" w:rsidRPr="00C11B45" w:rsidRDefault="001737C5" w:rsidP="00C11B45">
      <w:pPr>
        <w:widowControl w:val="0"/>
        <w:autoSpaceDE w:val="0"/>
        <w:autoSpaceDN w:val="0"/>
        <w:adjustRightInd w:val="0"/>
        <w:rPr>
          <w:noProof/>
        </w:rPr>
      </w:pPr>
      <w:r>
        <w:fldChar w:fldCharType="begin" w:fldLock="1"/>
      </w:r>
      <w:r>
        <w:instrText xml:space="preserve">ADDIN Mendeley Bibliography CSL_BIBLIOGRAPHY </w:instrText>
      </w:r>
      <w:r>
        <w:fldChar w:fldCharType="separate"/>
      </w:r>
      <w:r w:rsidR="00C11B45" w:rsidRPr="00C11B45">
        <w:rPr>
          <w:noProof/>
        </w:rPr>
        <w:t>Anon: Lovers Point-Julia Platt State Marine Reserve, California Department of Fish and Wildlife., 2016.</w:t>
      </w:r>
    </w:p>
    <w:p w14:paraId="1987C701" w14:textId="77777777" w:rsidR="00C11B45" w:rsidRPr="00C11B45" w:rsidRDefault="00C11B45" w:rsidP="00C11B45">
      <w:pPr>
        <w:widowControl w:val="0"/>
        <w:autoSpaceDE w:val="0"/>
        <w:autoSpaceDN w:val="0"/>
        <w:adjustRightInd w:val="0"/>
        <w:rPr>
          <w:noProof/>
        </w:rPr>
      </w:pPr>
      <w:r w:rsidRPr="00C11B45">
        <w:rPr>
          <w:noProof/>
        </w:rPr>
        <w:t>Bakun, A.: Global climate change and intensification of coastal ocean upwelling, Science (80-. )., 247(4939), 198–201, doi:10.1126/science.247.4939.198, 1990.</w:t>
      </w:r>
    </w:p>
    <w:p w14:paraId="08EA2957" w14:textId="77777777" w:rsidR="00C11B45" w:rsidRPr="00C11B45" w:rsidRDefault="00C11B45" w:rsidP="00C11B45">
      <w:pPr>
        <w:widowControl w:val="0"/>
        <w:autoSpaceDE w:val="0"/>
        <w:autoSpaceDN w:val="0"/>
        <w:adjustRightInd w:val="0"/>
        <w:rPr>
          <w:noProof/>
        </w:rPr>
      </w:pPr>
      <w:r w:rsidRPr="00C11B45">
        <w:rPr>
          <w:noProof/>
        </w:rPr>
        <w:t>Bell, T. W., Cavanaugh, K. C., Reed, D. C. and Siegel, D. A.: Geographical variability in the controls of giant kelp biomass dynamics, J. Biogeogr., 42(10), 2010–2021, doi:10.1111/jbi.12550, 2015a.</w:t>
      </w:r>
    </w:p>
    <w:p w14:paraId="1A409605" w14:textId="77777777" w:rsidR="00C11B45" w:rsidRPr="00C11B45" w:rsidRDefault="00C11B45" w:rsidP="00C11B45">
      <w:pPr>
        <w:widowControl w:val="0"/>
        <w:autoSpaceDE w:val="0"/>
        <w:autoSpaceDN w:val="0"/>
        <w:adjustRightInd w:val="0"/>
        <w:rPr>
          <w:noProof/>
        </w:rPr>
      </w:pPr>
      <w:r w:rsidRPr="00C11B45">
        <w:rPr>
          <w:noProof/>
        </w:rPr>
        <w:t>Bell, T. W., Cavanaugh, K. C. and Siegel, D. A.: Remote monitoring of giant kelp biomass and physiological condition: An evaluation of the potential for the Hyperspectral Infrared Imager (HyspIRI) mission, Remote Sens. Environ., 167, 218–228, doi:10.1016/j.rse.2015.05.003, 2015b.</w:t>
      </w:r>
    </w:p>
    <w:p w14:paraId="3AC8061F" w14:textId="77777777" w:rsidR="00C11B45" w:rsidRPr="00C11B45" w:rsidRDefault="00C11B45" w:rsidP="00C11B45">
      <w:pPr>
        <w:widowControl w:val="0"/>
        <w:autoSpaceDE w:val="0"/>
        <w:autoSpaceDN w:val="0"/>
        <w:adjustRightInd w:val="0"/>
        <w:rPr>
          <w:noProof/>
        </w:rPr>
      </w:pPr>
      <w:r w:rsidRPr="00C11B45">
        <w:rPr>
          <w:noProof/>
        </w:rPr>
        <w:lastRenderedPageBreak/>
        <w:t>Boehm, A. B., Jacobson, M. Z., O’Donnell, M. J., Sutula, M., Wakefield, W. W., Weisberg, S. B. and Whiteman, E.: Ocean acidification science needs for natural resource managers of the North American west coast, Oceanography, 28(2), 170–181, 2015.</w:t>
      </w:r>
    </w:p>
    <w:p w14:paraId="269FB7F8" w14:textId="77777777" w:rsidR="00C11B45" w:rsidRPr="00C11B45" w:rsidRDefault="00C11B45" w:rsidP="00C11B45">
      <w:pPr>
        <w:widowControl w:val="0"/>
        <w:autoSpaceDE w:val="0"/>
        <w:autoSpaceDN w:val="0"/>
        <w:adjustRightInd w:val="0"/>
        <w:rPr>
          <w:noProof/>
        </w:rPr>
      </w:pPr>
      <w:r w:rsidRPr="00C11B45">
        <w:rPr>
          <w:noProof/>
        </w:rPr>
        <w:t>Bograd, S. J., Castro, C. G., Di Lorenzo, E., Palacios, D. M., Bailey, H., Gilly, W. and Chavez, F. P.: Oxygen declines and the shoaling of the hypoxic boundary in the California Current, Geophys. Res. Lett., 35(12), 1–6, doi:10.1029/2008GL034185, 2008.</w:t>
      </w:r>
    </w:p>
    <w:p w14:paraId="58615D5D" w14:textId="77777777" w:rsidR="00C11B45" w:rsidRPr="00C11B45" w:rsidRDefault="00C11B45" w:rsidP="00C11B45">
      <w:pPr>
        <w:widowControl w:val="0"/>
        <w:autoSpaceDE w:val="0"/>
        <w:autoSpaceDN w:val="0"/>
        <w:adjustRightInd w:val="0"/>
        <w:rPr>
          <w:noProof/>
        </w:rPr>
      </w:pPr>
      <w:r w:rsidRPr="00C11B45">
        <w:rPr>
          <w:noProof/>
        </w:rPr>
        <w:t>Bograd, S. J., Schroeder, I., Sarkar, N., Qiu, X., Sydeman, W. J. and Schwing, F. B.: Phenology of coastal upwelling in the California Current, Geophys. Res. Lett., 36(1), 1–5, doi:10.1029/2008GL035933, 2009.</w:t>
      </w:r>
    </w:p>
    <w:p w14:paraId="2A47A270" w14:textId="77777777" w:rsidR="00C11B45" w:rsidRPr="00C11B45" w:rsidRDefault="00C11B45" w:rsidP="00C11B45">
      <w:pPr>
        <w:widowControl w:val="0"/>
        <w:autoSpaceDE w:val="0"/>
        <w:autoSpaceDN w:val="0"/>
        <w:adjustRightInd w:val="0"/>
        <w:rPr>
          <w:noProof/>
        </w:rPr>
      </w:pPr>
      <w:r w:rsidRPr="00C11B45">
        <w:rPr>
          <w:noProof/>
        </w:rPr>
        <w:t>Booth, J. A. T., McPhee-Shaw, E. E., Chua, P., Kingsley, E., Denny, M., Phillips, R., Bograd, S. J., Zeidberg, L. D. and Gilly, W. F.: Natural intrusions of hypoxic, low pH water into nearshore marine environments on the California coast, Cont. Shelf Res., 45, 108–115, doi:10.1016/j.csr.2012.06.009, 2012.</w:t>
      </w:r>
    </w:p>
    <w:p w14:paraId="192F5A83" w14:textId="77777777" w:rsidR="00C11B45" w:rsidRPr="00C11B45" w:rsidRDefault="00C11B45" w:rsidP="00C11B45">
      <w:pPr>
        <w:widowControl w:val="0"/>
        <w:autoSpaceDE w:val="0"/>
        <w:autoSpaceDN w:val="0"/>
        <w:adjustRightInd w:val="0"/>
        <w:rPr>
          <w:noProof/>
        </w:rPr>
      </w:pPr>
      <w:r w:rsidRPr="00C11B45">
        <w:rPr>
          <w:noProof/>
        </w:rPr>
        <w:t>Booth, J. A. T., Woodson, C. B., Sutula, M., Micheli, F., Weisberg, S. B., Bograd, S. J., Steele, A., Schoen, J. and Crowder, L. B.: Patterns and potential drivers of declining oxygen content along the southern California coast, Limnol. Oceanogr., 59(4), 1127–1138, doi:10.4319/lo.2014.59.4.0000, 2014.</w:t>
      </w:r>
    </w:p>
    <w:p w14:paraId="48B0136E" w14:textId="77777777" w:rsidR="00C11B45" w:rsidRPr="00C11B45" w:rsidRDefault="00C11B45" w:rsidP="00C11B45">
      <w:pPr>
        <w:widowControl w:val="0"/>
        <w:autoSpaceDE w:val="0"/>
        <w:autoSpaceDN w:val="0"/>
        <w:adjustRightInd w:val="0"/>
        <w:rPr>
          <w:noProof/>
        </w:rPr>
      </w:pPr>
      <w:r w:rsidRPr="00C11B45">
        <w:rPr>
          <w:noProof/>
        </w:rPr>
        <w:t>Bresnahan, P. J., Martz, T. R., Takeshita, Y., Johnson, K. S. and LaShomb, M.: Best practices for autonomous measurement of seawater pH with the Honeywell Durafet, Methods Oceanogr., 9(August), 44–60, doi:10.1016/j.mio.2014.08.003, 2014.</w:t>
      </w:r>
    </w:p>
    <w:p w14:paraId="25E63383" w14:textId="77777777" w:rsidR="00C11B45" w:rsidRPr="00C11B45" w:rsidRDefault="00C11B45" w:rsidP="00C11B45">
      <w:pPr>
        <w:widowControl w:val="0"/>
        <w:autoSpaceDE w:val="0"/>
        <w:autoSpaceDN w:val="0"/>
        <w:adjustRightInd w:val="0"/>
        <w:rPr>
          <w:noProof/>
        </w:rPr>
      </w:pPr>
      <w:r w:rsidRPr="00C11B45">
        <w:rPr>
          <w:noProof/>
        </w:rPr>
        <w:t>Brzezinski, M. A., Jones, J. L., Bidle, K. D. and Azam, F.: The balance between silica production and silica dissolution in the sea: insights from Monterey Bay, California applied to the global data set, Limnol. Oceanogr., 48(5), 1846–1854, doi:10.4319/lo.2003.48.5.1846, 2003.</w:t>
      </w:r>
    </w:p>
    <w:p w14:paraId="0B52E62F" w14:textId="77777777" w:rsidR="00C11B45" w:rsidRPr="00C11B45" w:rsidRDefault="00C11B45" w:rsidP="00C11B45">
      <w:pPr>
        <w:widowControl w:val="0"/>
        <w:autoSpaceDE w:val="0"/>
        <w:autoSpaceDN w:val="0"/>
        <w:adjustRightInd w:val="0"/>
        <w:rPr>
          <w:noProof/>
        </w:rPr>
      </w:pPr>
      <w:r w:rsidRPr="00C11B45">
        <w:rPr>
          <w:noProof/>
        </w:rPr>
        <w:t>Cavanaugh, K. C., Siegel, D., Reed, D. and Dennison, P.: Environmental controls of giant-kelp biomass in the Santa Barbara Channel, California, Mar. Ecol. Prog. Ser., 429, 1–17, doi:10.3354/meps09141, 2011.</w:t>
      </w:r>
    </w:p>
    <w:p w14:paraId="06555864" w14:textId="77777777" w:rsidR="00C11B45" w:rsidRPr="00C11B45" w:rsidRDefault="00C11B45" w:rsidP="00C11B45">
      <w:pPr>
        <w:widowControl w:val="0"/>
        <w:autoSpaceDE w:val="0"/>
        <w:autoSpaceDN w:val="0"/>
        <w:adjustRightInd w:val="0"/>
        <w:rPr>
          <w:noProof/>
        </w:rPr>
      </w:pPr>
      <w:r w:rsidRPr="00C11B45">
        <w:rPr>
          <w:noProof/>
        </w:rPr>
        <w:t>Chan, F., Boehm, A. B., Barth, J. A., Chornesky, E. A., Dickson, A. G., Feely, R. A., Hales, B., Hill, T. M., Hofmann, G. E., Ianson, D., Klinger, T., Largier, J. L., Newton, J. A., Pedersen, T., Somero, G. N., Sutula, M., Wakefield, W. W., Waldbusser, G. G., Weisberg, S. B. and Whiteman, E.: The West Coast Ocean Acidification and Hypoxia Science Panel: Major Findings, Recommendations, and Actions, Oakland, California., 2016.</w:t>
      </w:r>
    </w:p>
    <w:p w14:paraId="132CBA77" w14:textId="77777777" w:rsidR="00C11B45" w:rsidRPr="00C11B45" w:rsidRDefault="00C11B45" w:rsidP="00C11B45">
      <w:pPr>
        <w:widowControl w:val="0"/>
        <w:autoSpaceDE w:val="0"/>
        <w:autoSpaceDN w:val="0"/>
        <w:adjustRightInd w:val="0"/>
        <w:rPr>
          <w:noProof/>
        </w:rPr>
      </w:pPr>
      <w:r w:rsidRPr="00C11B45">
        <w:rPr>
          <w:noProof/>
        </w:rPr>
        <w:t>Checkley, D. M. and Barth, J. A.: Patterns and processes in the California Current System, Prog. Oceanogr., 83, 49–64, doi:10.1016/j.pocean.2009.07.028, 2009.</w:t>
      </w:r>
    </w:p>
    <w:p w14:paraId="35FA1B4E" w14:textId="77777777" w:rsidR="00C11B45" w:rsidRPr="00C11B45" w:rsidRDefault="00C11B45" w:rsidP="00C11B45">
      <w:pPr>
        <w:widowControl w:val="0"/>
        <w:autoSpaceDE w:val="0"/>
        <w:autoSpaceDN w:val="0"/>
        <w:adjustRightInd w:val="0"/>
        <w:rPr>
          <w:noProof/>
        </w:rPr>
      </w:pPr>
      <w:r w:rsidRPr="00C11B45">
        <w:rPr>
          <w:noProof/>
        </w:rPr>
        <w:t>Dayton, P. K.: Ecology of Kelp Communities, Annu. Rev. Ecol. Syst., 16(1985), 215–245, doi:10.1146/annurev.es.16.110185.001243, 1985.</w:t>
      </w:r>
    </w:p>
    <w:p w14:paraId="56F66264" w14:textId="77777777" w:rsidR="00C11B45" w:rsidRPr="00C11B45" w:rsidRDefault="00C11B45" w:rsidP="00C11B45">
      <w:pPr>
        <w:widowControl w:val="0"/>
        <w:autoSpaceDE w:val="0"/>
        <w:autoSpaceDN w:val="0"/>
        <w:adjustRightInd w:val="0"/>
        <w:rPr>
          <w:noProof/>
        </w:rPr>
      </w:pPr>
      <w:r w:rsidRPr="00C11B45">
        <w:rPr>
          <w:noProof/>
        </w:rPr>
        <w:t>Delille, B., Delille, D., Fiala, M., Prevost, C. and Frankignoulle, M.: Seasonal changes of pCO2 over a subantarctic Macrocystis kelp bed, Polar Biol., 23, 706–716, 2000.</w:t>
      </w:r>
    </w:p>
    <w:p w14:paraId="4529751D" w14:textId="77777777" w:rsidR="00C11B45" w:rsidRPr="00C11B45" w:rsidRDefault="00C11B45" w:rsidP="00C11B45">
      <w:pPr>
        <w:widowControl w:val="0"/>
        <w:autoSpaceDE w:val="0"/>
        <w:autoSpaceDN w:val="0"/>
        <w:adjustRightInd w:val="0"/>
        <w:rPr>
          <w:noProof/>
        </w:rPr>
      </w:pPr>
      <w:r w:rsidRPr="00C11B45">
        <w:rPr>
          <w:noProof/>
        </w:rPr>
        <w:t>Delille, B., Borges, A. V. and Delille, D.: Influence of giant kelp beds (Macrocystis pyrifera) on diel cycles of pCO2 and DIC in the sub-Antarctic coastal area, Estuar. Coast. Shelf Sci., 81(1), 114–122, doi:10.1016/j.ecss.2008.10.004, 2009.</w:t>
      </w:r>
    </w:p>
    <w:p w14:paraId="627EAAC1" w14:textId="77777777" w:rsidR="00C11B45" w:rsidRPr="00C11B45" w:rsidRDefault="00C11B45" w:rsidP="00C11B45">
      <w:pPr>
        <w:widowControl w:val="0"/>
        <w:autoSpaceDE w:val="0"/>
        <w:autoSpaceDN w:val="0"/>
        <w:adjustRightInd w:val="0"/>
        <w:rPr>
          <w:noProof/>
        </w:rPr>
      </w:pPr>
      <w:r w:rsidRPr="00C11B45">
        <w:rPr>
          <w:noProof/>
        </w:rPr>
        <w:t xml:space="preserve">Dickson, A. G.: Standard potential of the reaction: AgCl(s) + 1/2 H2(g)=Ag(s)+HCl(aq), and and the standard acidity </w:t>
      </w:r>
      <w:r w:rsidRPr="00C11B45">
        <w:rPr>
          <w:noProof/>
        </w:rPr>
        <w:lastRenderedPageBreak/>
        <w:t>constant of the ion HSO4− in synthetic sea water from 273.15 to 318.15 K, J. Chem. Thermodyn., 22(2), 113–127, doi:10.1016/0021-9614(90)90074-Z, 1990.</w:t>
      </w:r>
    </w:p>
    <w:p w14:paraId="3069AA6C" w14:textId="77777777" w:rsidR="00C11B45" w:rsidRPr="00C11B45" w:rsidRDefault="00C11B45" w:rsidP="00C11B45">
      <w:pPr>
        <w:widowControl w:val="0"/>
        <w:autoSpaceDE w:val="0"/>
        <w:autoSpaceDN w:val="0"/>
        <w:adjustRightInd w:val="0"/>
        <w:rPr>
          <w:noProof/>
        </w:rPr>
      </w:pPr>
      <w:r w:rsidRPr="00C11B45">
        <w:rPr>
          <w:noProof/>
        </w:rPr>
        <w:t>Dickson, A. G. and Millero, F. J.: A comparison of the equilibrium constants for the dissociation of carbonic acid in seawater media, Deep Sea Res. Part A. Oceanogr. Res. Pap., 34(10), 1733–1743, doi:10.1016/0198-0149(87)90021-5, 1987.</w:t>
      </w:r>
    </w:p>
    <w:p w14:paraId="60BBB1D2" w14:textId="77777777" w:rsidR="00C11B45" w:rsidRPr="00C11B45" w:rsidRDefault="00C11B45" w:rsidP="00C11B45">
      <w:pPr>
        <w:widowControl w:val="0"/>
        <w:autoSpaceDE w:val="0"/>
        <w:autoSpaceDN w:val="0"/>
        <w:adjustRightInd w:val="0"/>
        <w:rPr>
          <w:noProof/>
        </w:rPr>
      </w:pPr>
      <w:r w:rsidRPr="00C11B45">
        <w:rPr>
          <w:noProof/>
        </w:rPr>
        <w:t>Dickson, A. G., Afghan, J. D. and Anderson, G. C.: Reference materials for oceanic CO2 analysis: a method for the certification of total alkalinity, Mar. Chem., 80(2–3), 185–197, doi:10.1016/S0304-4203(02)00133-0, 2003.</w:t>
      </w:r>
    </w:p>
    <w:p w14:paraId="1BA1B529" w14:textId="77777777" w:rsidR="00C11B45" w:rsidRPr="00C11B45" w:rsidRDefault="00C11B45" w:rsidP="00C11B45">
      <w:pPr>
        <w:widowControl w:val="0"/>
        <w:autoSpaceDE w:val="0"/>
        <w:autoSpaceDN w:val="0"/>
        <w:adjustRightInd w:val="0"/>
        <w:rPr>
          <w:noProof/>
        </w:rPr>
      </w:pPr>
      <w:r w:rsidRPr="00C11B45">
        <w:rPr>
          <w:noProof/>
        </w:rPr>
        <w:t>Edwards, M. S.: Estimating scale-dependency in disturbance impacts: El Ninos and giant kelp forests in the northeast Pacific, Oecologia, 138(3), 436–447, doi:10.1007/s00442-003-1452-8, 2004.</w:t>
      </w:r>
    </w:p>
    <w:p w14:paraId="25AFA0A4" w14:textId="77777777" w:rsidR="00C11B45" w:rsidRPr="00C11B45" w:rsidRDefault="00C11B45" w:rsidP="00C11B45">
      <w:pPr>
        <w:widowControl w:val="0"/>
        <w:autoSpaceDE w:val="0"/>
        <w:autoSpaceDN w:val="0"/>
        <w:adjustRightInd w:val="0"/>
        <w:rPr>
          <w:noProof/>
        </w:rPr>
      </w:pPr>
      <w:r w:rsidRPr="00C11B45">
        <w:rPr>
          <w:noProof/>
        </w:rPr>
        <w:t>Edwards, M. S. and Estes, J. A.: Catastrophe, recovery and range limitation in NE Pacific kelp forests: A large-scale perspective, Mar. Ecol. Prog. Ser., 320, 79–87, doi:10.3354/meps320079, 2006.</w:t>
      </w:r>
    </w:p>
    <w:p w14:paraId="5DB276A3" w14:textId="77777777" w:rsidR="00C11B45" w:rsidRPr="00C11B45" w:rsidRDefault="00C11B45" w:rsidP="00C11B45">
      <w:pPr>
        <w:widowControl w:val="0"/>
        <w:autoSpaceDE w:val="0"/>
        <w:autoSpaceDN w:val="0"/>
        <w:adjustRightInd w:val="0"/>
        <w:rPr>
          <w:noProof/>
        </w:rPr>
      </w:pPr>
      <w:r w:rsidRPr="00C11B45">
        <w:rPr>
          <w:noProof/>
        </w:rPr>
        <w:t>Frieder, C. A., Nam, S. H., Martz, T. R. and Levin, L. A.: High temporal and spatial variability of dissolved oxygen and pH in a nearshore California kelp forest, Biogeosciences, 9(10), 3917–3930, doi:10.5194/bg-9-3917-2012, 2012.</w:t>
      </w:r>
    </w:p>
    <w:p w14:paraId="227E3ADC" w14:textId="77777777" w:rsidR="00C11B45" w:rsidRPr="00C11B45" w:rsidRDefault="00C11B45" w:rsidP="00C11B45">
      <w:pPr>
        <w:widowControl w:val="0"/>
        <w:autoSpaceDE w:val="0"/>
        <w:autoSpaceDN w:val="0"/>
        <w:adjustRightInd w:val="0"/>
        <w:rPr>
          <w:noProof/>
        </w:rPr>
      </w:pPr>
      <w:r w:rsidRPr="00C11B45">
        <w:rPr>
          <w:noProof/>
        </w:rPr>
        <w:t>Graham, M. H., Vásquez, J. A. and Buschmann, A. H.: Global ecology of the giant kelp Macrocystis: from ecotypes to ecosystems, in Oceanography and Marine Biology: An Annual Review, vol. 45, edited by R. N. Gibson, R. J. . Atkinson, and J. D. M. Gordon, pp. 39–88, Taylor and Francis., 2007.</w:t>
      </w:r>
    </w:p>
    <w:p w14:paraId="5FA4D61F" w14:textId="77777777" w:rsidR="00C11B45" w:rsidRPr="00C11B45" w:rsidRDefault="00C11B45" w:rsidP="00C11B45">
      <w:pPr>
        <w:widowControl w:val="0"/>
        <w:autoSpaceDE w:val="0"/>
        <w:autoSpaceDN w:val="0"/>
        <w:adjustRightInd w:val="0"/>
        <w:rPr>
          <w:noProof/>
        </w:rPr>
      </w:pPr>
      <w:r w:rsidRPr="00C11B45">
        <w:rPr>
          <w:noProof/>
        </w:rPr>
        <w:t>Hauri, C., Gruber, N., Vogt, M., Doney, S. C., Feely, R. A., Lachkar, Z., Leinweber, A., McDonnell, A. M. P. and Munnich, M.: Spatiotemporal variability and long-term trends of ocean acidification in the California Current System, Biogeosciences, 10(1), 193–216, doi:10.5194/bg-10-193-2013, 2013.</w:t>
      </w:r>
    </w:p>
    <w:p w14:paraId="51B7590C" w14:textId="77777777" w:rsidR="00C11B45" w:rsidRPr="00C11B45" w:rsidRDefault="00C11B45" w:rsidP="00C11B45">
      <w:pPr>
        <w:widowControl w:val="0"/>
        <w:autoSpaceDE w:val="0"/>
        <w:autoSpaceDN w:val="0"/>
        <w:adjustRightInd w:val="0"/>
        <w:rPr>
          <w:noProof/>
        </w:rPr>
      </w:pPr>
      <w:r w:rsidRPr="00C11B45">
        <w:rPr>
          <w:noProof/>
        </w:rPr>
        <w:t>van Heuven, S., Pierrot, D., Rae, J., Lewis, E. and Wallace, D. W. R.: MATLAB Program Developed for CO2 System Calculations, Oak Ridge National Laboratory, U.S. Department of Energy, Oak Ridge, Tennessee., 2011.</w:t>
      </w:r>
    </w:p>
    <w:p w14:paraId="01E00FE2" w14:textId="77777777" w:rsidR="00C11B45" w:rsidRPr="00C11B45" w:rsidRDefault="00C11B45" w:rsidP="00C11B45">
      <w:pPr>
        <w:widowControl w:val="0"/>
        <w:autoSpaceDE w:val="0"/>
        <w:autoSpaceDN w:val="0"/>
        <w:adjustRightInd w:val="0"/>
        <w:rPr>
          <w:noProof/>
        </w:rPr>
      </w:pPr>
      <w:r w:rsidRPr="00C11B45">
        <w:rPr>
          <w:noProof/>
        </w:rPr>
        <w:t>Hofmann, G. E., Smith, J. E., Johnson, K. S., Send, U., Levin, L. A., Micheli, F., Paytan, A., Price, N. N., Peterson, B., Takeshita, Y., Matson, P. G., Crook, E. D., Kroeker, K. J., Gambi, M. C., Rivest, E. B., Frieder, C. A., Yu, P. C. and Martz, T. R.: High-frequency dynamics of ocean pH: a multi-ecosystem comparison., PLoS One, 6(12), 1–11, doi:10.1371/journal.pone.0028983, 2011.</w:t>
      </w:r>
    </w:p>
    <w:p w14:paraId="0BCE0182" w14:textId="77777777" w:rsidR="00C11B45" w:rsidRPr="00C11B45" w:rsidRDefault="00C11B45" w:rsidP="00C11B45">
      <w:pPr>
        <w:widowControl w:val="0"/>
        <w:autoSpaceDE w:val="0"/>
        <w:autoSpaceDN w:val="0"/>
        <w:adjustRightInd w:val="0"/>
        <w:rPr>
          <w:noProof/>
        </w:rPr>
      </w:pPr>
      <w:r w:rsidRPr="00C11B45">
        <w:rPr>
          <w:noProof/>
        </w:rPr>
        <w:t>Hofmann, G. E., Evans, T. G., Kelly, M. W., Padilla-Gamiño, J. L., Blanchette, C. A., Washburn, L., Chan, F., McManus, M. A., Menge, B. A., Gaylord, B., Hill, T. M., Sanford, E., Lavigne, M., Rose, J. M., Kapsenberg, L. and Dutton, J. M.: Exploring local adaptation and the ocean acidification seascape-studies in the California Current Large Marine Ecosystem, Biogeosciences, 11(4), 1053–1064, doi:10.5194/bg-11-1053-2014, 2014.</w:t>
      </w:r>
    </w:p>
    <w:p w14:paraId="791C98BD" w14:textId="77777777" w:rsidR="00C11B45" w:rsidRPr="00C11B45" w:rsidRDefault="00C11B45" w:rsidP="00C11B45">
      <w:pPr>
        <w:widowControl w:val="0"/>
        <w:autoSpaceDE w:val="0"/>
        <w:autoSpaceDN w:val="0"/>
        <w:adjustRightInd w:val="0"/>
        <w:rPr>
          <w:noProof/>
        </w:rPr>
      </w:pPr>
      <w:r w:rsidRPr="00C11B45">
        <w:rPr>
          <w:noProof/>
        </w:rPr>
        <w:t>Jackson, G. A.: Nutrients and production of giant kelp, Macrocystis pyrifera, off southern California, Limnol. Oceanogr., 22(6), 979–995, 1977.</w:t>
      </w:r>
    </w:p>
    <w:p w14:paraId="591C8A8D" w14:textId="77777777" w:rsidR="00C11B45" w:rsidRPr="00C11B45" w:rsidRDefault="00C11B45" w:rsidP="00C11B45">
      <w:pPr>
        <w:widowControl w:val="0"/>
        <w:autoSpaceDE w:val="0"/>
        <w:autoSpaceDN w:val="0"/>
        <w:adjustRightInd w:val="0"/>
        <w:rPr>
          <w:noProof/>
        </w:rPr>
      </w:pPr>
      <w:r w:rsidRPr="00C11B45">
        <w:rPr>
          <w:noProof/>
        </w:rPr>
        <w:t>Kapsenberg, L. and Hofmann, G. E.: Ocean pH time-series and drivers of variability along the northern Channel Islands, California, USA, Limnol. Oceanogr., n/a-n/a, doi:10.1002/lno.10264, 2016.</w:t>
      </w:r>
    </w:p>
    <w:p w14:paraId="36FC368A" w14:textId="77777777" w:rsidR="00C11B45" w:rsidRPr="00C11B45" w:rsidRDefault="00C11B45" w:rsidP="00C11B45">
      <w:pPr>
        <w:widowControl w:val="0"/>
        <w:autoSpaceDE w:val="0"/>
        <w:autoSpaceDN w:val="0"/>
        <w:adjustRightInd w:val="0"/>
        <w:rPr>
          <w:noProof/>
        </w:rPr>
      </w:pPr>
      <w:r w:rsidRPr="00C11B45">
        <w:rPr>
          <w:noProof/>
        </w:rPr>
        <w:t xml:space="preserve">Long, M. C., Dunbar, R. B., Tortell, P. D., Smith, W. O., Mucciarone, D. A. and DiTullio, G. R.: Vertical structure, seasonal drawdown, and net community production in the Ross Sea , Antarctica, J. Geophys. Res. Ocean., 116, 1–19, </w:t>
      </w:r>
      <w:r w:rsidRPr="00C11B45">
        <w:rPr>
          <w:noProof/>
        </w:rPr>
        <w:lastRenderedPageBreak/>
        <w:t>doi:10.1029/2009JC005954, 2011.</w:t>
      </w:r>
    </w:p>
    <w:p w14:paraId="04C51484" w14:textId="77777777" w:rsidR="00C11B45" w:rsidRPr="00C11B45" w:rsidRDefault="00C11B45" w:rsidP="00C11B45">
      <w:pPr>
        <w:widowControl w:val="0"/>
        <w:autoSpaceDE w:val="0"/>
        <w:autoSpaceDN w:val="0"/>
        <w:adjustRightInd w:val="0"/>
        <w:rPr>
          <w:noProof/>
        </w:rPr>
      </w:pPr>
      <w:r w:rsidRPr="00C11B45">
        <w:rPr>
          <w:noProof/>
        </w:rPr>
        <w:t>Mann, K. H.: Ecology of Coastal Waters: A Systems Approach, University of California Press., 1982.</w:t>
      </w:r>
    </w:p>
    <w:p w14:paraId="17B0D144" w14:textId="77777777" w:rsidR="00C11B45" w:rsidRPr="00C11B45" w:rsidRDefault="00C11B45" w:rsidP="00C11B45">
      <w:pPr>
        <w:widowControl w:val="0"/>
        <w:autoSpaceDE w:val="0"/>
        <w:autoSpaceDN w:val="0"/>
        <w:adjustRightInd w:val="0"/>
        <w:rPr>
          <w:noProof/>
        </w:rPr>
      </w:pPr>
      <w:r w:rsidRPr="00C11B45">
        <w:rPr>
          <w:noProof/>
        </w:rPr>
        <w:t>Martz, T. R., Daly, K. L., Byrne, R. H., Stillman, J. H. and Turk, D.: Technology for ocean acidification research needs: Needs and availability, Oceanography, 28(2), 40–47, doi:10.5670/oceanog.2015.30, 2015.</w:t>
      </w:r>
    </w:p>
    <w:p w14:paraId="7558D1DA" w14:textId="77777777" w:rsidR="00C11B45" w:rsidRPr="00C11B45" w:rsidRDefault="00C11B45" w:rsidP="00C11B45">
      <w:pPr>
        <w:widowControl w:val="0"/>
        <w:autoSpaceDE w:val="0"/>
        <w:autoSpaceDN w:val="0"/>
        <w:adjustRightInd w:val="0"/>
        <w:rPr>
          <w:noProof/>
        </w:rPr>
      </w:pPr>
      <w:r w:rsidRPr="00C11B45">
        <w:rPr>
          <w:noProof/>
        </w:rPr>
        <w:t>McLaughlin, K., Weisberg, S. B., Dickson, A. G., Hofmann, G. E., Newton, J. A., Aseltine-Neilson, D., Barton, A., Cudd, S., Feely, R. A., Jefferds, I. W., Jewett, E. B., King, T., Langdon, C. J., McAfee, S., Pleschner-Steele, D. and Steele, B.: Core principles of the California Current Acidification Network: Linking chemistry, physics, and ecological effects, Oceanography, 28(2), 160–169, doi:http://dx.doi.org/10.5670/oceanog.2015.39, 2015.</w:t>
      </w:r>
    </w:p>
    <w:p w14:paraId="6B778237" w14:textId="77777777" w:rsidR="00C11B45" w:rsidRPr="00C11B45" w:rsidRDefault="00C11B45" w:rsidP="00C11B45">
      <w:pPr>
        <w:widowControl w:val="0"/>
        <w:autoSpaceDE w:val="0"/>
        <w:autoSpaceDN w:val="0"/>
        <w:adjustRightInd w:val="0"/>
        <w:rPr>
          <w:noProof/>
        </w:rPr>
      </w:pPr>
      <w:r w:rsidRPr="00C11B45">
        <w:rPr>
          <w:noProof/>
        </w:rPr>
        <w:t>Mehrbach, C., Culberson, C. H., Hawley, J. E. and Pytkowicz, R. M.: Measurement of the apparent dissociation constants of carbonic acid in seawater at atmospheric pressure, Limnol. Oceanogr., 18(6), 897–907, doi:10.4319/lo.1973.18.6.0897, 1973.</w:t>
      </w:r>
    </w:p>
    <w:p w14:paraId="62CB7915" w14:textId="77777777" w:rsidR="00C11B45" w:rsidRPr="00C11B45" w:rsidRDefault="00C11B45" w:rsidP="00C11B45">
      <w:pPr>
        <w:widowControl w:val="0"/>
        <w:autoSpaceDE w:val="0"/>
        <w:autoSpaceDN w:val="0"/>
        <w:adjustRightInd w:val="0"/>
        <w:rPr>
          <w:noProof/>
        </w:rPr>
      </w:pPr>
      <w:r w:rsidRPr="00C11B45">
        <w:rPr>
          <w:noProof/>
        </w:rPr>
        <w:t>Reed, D. C., Rassweiler, A., Carr, M. H., Cavanaugh, K. C., Malone, D. P. and Siegel, D. A.: Wave disturbance overwhelms top-down and bottom-up control of primary production in California kelp forests., Ecology, 92(11), 2108–16, 2011.</w:t>
      </w:r>
    </w:p>
    <w:p w14:paraId="32F0F345" w14:textId="77777777" w:rsidR="00C11B45" w:rsidRPr="00C11B45" w:rsidRDefault="00C11B45" w:rsidP="00C11B45">
      <w:pPr>
        <w:widowControl w:val="0"/>
        <w:autoSpaceDE w:val="0"/>
        <w:autoSpaceDN w:val="0"/>
        <w:adjustRightInd w:val="0"/>
        <w:rPr>
          <w:noProof/>
        </w:rPr>
      </w:pPr>
      <w:r w:rsidRPr="00C11B45">
        <w:rPr>
          <w:noProof/>
        </w:rPr>
        <w:t>Reum, J. C., Alin, S. R., Harvey, C. J., Bednaršek, N., Evans, W., Feely, R. A., Hales, B., Lucey, N., Mathis, J. T., McElhany, P., Newton, J. and Sabine, C. L.: Interpretation and design of ocean acidification experiments in upwelling systems in the context of carbonate chemistry co-variation with temperature and oxygen, ICES J. Mar. Sci., 1–14, doi:10.1093/icesjms/fst176, 2015.</w:t>
      </w:r>
    </w:p>
    <w:p w14:paraId="60B17355" w14:textId="77777777" w:rsidR="00C11B45" w:rsidRPr="00C11B45" w:rsidRDefault="00C11B45" w:rsidP="00C11B45">
      <w:pPr>
        <w:widowControl w:val="0"/>
        <w:autoSpaceDE w:val="0"/>
        <w:autoSpaceDN w:val="0"/>
        <w:adjustRightInd w:val="0"/>
        <w:rPr>
          <w:noProof/>
        </w:rPr>
      </w:pPr>
      <w:r w:rsidRPr="00C11B45">
        <w:rPr>
          <w:noProof/>
        </w:rPr>
        <w:t>Roberts, D. A., Gardner, M., Church, R., Ustin, S., Scheer, G. and Green, R. O.: Mapping chaparral in the Santa Monica Mountains using multiple endmember spectral mixture models, Remote Sens. Environ., 65(3), 267–279, doi:10.1016/S0034-4257(98)00037-6, 1998.</w:t>
      </w:r>
    </w:p>
    <w:p w14:paraId="12A278D8" w14:textId="77777777" w:rsidR="00C11B45" w:rsidRPr="00C11B45" w:rsidRDefault="00C11B45" w:rsidP="00C11B45">
      <w:pPr>
        <w:widowControl w:val="0"/>
        <w:autoSpaceDE w:val="0"/>
        <w:autoSpaceDN w:val="0"/>
        <w:adjustRightInd w:val="0"/>
        <w:rPr>
          <w:noProof/>
        </w:rPr>
      </w:pPr>
      <w:r w:rsidRPr="00C11B45">
        <w:rPr>
          <w:noProof/>
        </w:rPr>
        <w:t>Rosman, J. H., Koseff, J. R., Monismith, S. G. and Grover, J.: A field investigation into the effects of a kelp forest (Macrocystis pyrifera) on coastal hydrodynamics and transport, J. Geophys. Res. Ocean., 112(2), 1–16, doi:10.1029/2005JC003430, 2007.</w:t>
      </w:r>
    </w:p>
    <w:p w14:paraId="7E02BEB2" w14:textId="77777777" w:rsidR="00C11B45" w:rsidRPr="00C11B45" w:rsidRDefault="00C11B45" w:rsidP="00C11B45">
      <w:pPr>
        <w:widowControl w:val="0"/>
        <w:autoSpaceDE w:val="0"/>
        <w:autoSpaceDN w:val="0"/>
        <w:adjustRightInd w:val="0"/>
        <w:rPr>
          <w:noProof/>
        </w:rPr>
      </w:pPr>
      <w:r w:rsidRPr="00C11B45">
        <w:rPr>
          <w:noProof/>
        </w:rPr>
        <w:t>Sabine, C. L., Feely, R. A., Gruber, N., Key, R. M., Lee, K., Bullister, J. L., Wanninkhof, R., Wong, C. S., Wallace, D. W. R., Tilbrook, B., Millero, F. J., Peng, T. H., Kozyr, A., Ono, T. and Rios, A. F.: The oceanic sink for anthropogenic CO2., Science (80-. )., 305(5682), 367–71, doi:10.1126/science.1097403, 2004.</w:t>
      </w:r>
    </w:p>
    <w:p w14:paraId="4A5AB6C3" w14:textId="77777777" w:rsidR="00C11B45" w:rsidRPr="00C11B45" w:rsidRDefault="00C11B45" w:rsidP="00C11B45">
      <w:pPr>
        <w:widowControl w:val="0"/>
        <w:autoSpaceDE w:val="0"/>
        <w:autoSpaceDN w:val="0"/>
        <w:adjustRightInd w:val="0"/>
        <w:rPr>
          <w:noProof/>
        </w:rPr>
      </w:pPr>
      <w:r w:rsidRPr="00C11B45">
        <w:rPr>
          <w:noProof/>
        </w:rPr>
        <w:t>Spaulding, R. S., DeGrandpre, M. D., Beck, J. C., Hart, R. D., Peterson, B., DeCarlo, E. H., Drupp, P. S. and Hammar, T. R.: Autonomous in situ measurements of seawater alkalinity., Environ. Sci. Technol., 48(16), 9573–9581, doi:10.1021/es501615x, 2014.</w:t>
      </w:r>
    </w:p>
    <w:p w14:paraId="152239AC" w14:textId="77777777" w:rsidR="00C11B45" w:rsidRPr="00C11B45" w:rsidRDefault="00C11B45" w:rsidP="00C11B45">
      <w:pPr>
        <w:widowControl w:val="0"/>
        <w:autoSpaceDE w:val="0"/>
        <w:autoSpaceDN w:val="0"/>
        <w:adjustRightInd w:val="0"/>
        <w:rPr>
          <w:noProof/>
        </w:rPr>
      </w:pPr>
      <w:r w:rsidRPr="00C11B45">
        <w:rPr>
          <w:noProof/>
        </w:rPr>
        <w:t>Steneck, R. S., Graham, M. H., Bourque, B. J., Corbett, D., Erlandson, J. M., Estes, J. A. and Tegner, M. J.: Kelp forest ecosystems: biodiversity, stability, resilience and future, Environ. Conserv., 29(4), 436–459, doi:10.1017/S0376892902000322, 2002.</w:t>
      </w:r>
    </w:p>
    <w:p w14:paraId="5D0B455D" w14:textId="77777777" w:rsidR="00C11B45" w:rsidRPr="00C11B45" w:rsidRDefault="00C11B45" w:rsidP="00C11B45">
      <w:pPr>
        <w:widowControl w:val="0"/>
        <w:autoSpaceDE w:val="0"/>
        <w:autoSpaceDN w:val="0"/>
        <w:adjustRightInd w:val="0"/>
        <w:rPr>
          <w:noProof/>
        </w:rPr>
      </w:pPr>
      <w:r w:rsidRPr="00C11B45">
        <w:rPr>
          <w:noProof/>
        </w:rPr>
        <w:t>Stramma, L., Schmidtko, S., Levin, L. A. and Johnson, G. C.: Ocean oxygen minima expansions and their biological impacts, Deep. Res. Part I Oceanogr. Res. Pap., 57(4), 587–595, doi:10.1016/j.dsr.2010.01.005, 2010.</w:t>
      </w:r>
    </w:p>
    <w:p w14:paraId="1470DE60" w14:textId="77777777" w:rsidR="00C11B45" w:rsidRPr="00C11B45" w:rsidRDefault="00C11B45" w:rsidP="00C11B45">
      <w:pPr>
        <w:widowControl w:val="0"/>
        <w:autoSpaceDE w:val="0"/>
        <w:autoSpaceDN w:val="0"/>
        <w:adjustRightInd w:val="0"/>
        <w:rPr>
          <w:noProof/>
        </w:rPr>
      </w:pPr>
      <w:r w:rsidRPr="00C11B45">
        <w:rPr>
          <w:noProof/>
        </w:rPr>
        <w:lastRenderedPageBreak/>
        <w:t>Strong, A. L., Kroeker, K. J., Teneva, L. T., Mease, L. A. and Kelly, R. P.: Ocean acidification 2.0: managing our changing coastal ocean chemistry, Bioscience, 64(7), 581–592, doi:10.1093/biosci/biu072, 2014.</w:t>
      </w:r>
    </w:p>
    <w:p w14:paraId="490FB755" w14:textId="77777777" w:rsidR="00C11B45" w:rsidRPr="00C11B45" w:rsidRDefault="00C11B45" w:rsidP="00C11B45">
      <w:pPr>
        <w:widowControl w:val="0"/>
        <w:autoSpaceDE w:val="0"/>
        <w:autoSpaceDN w:val="0"/>
        <w:adjustRightInd w:val="0"/>
        <w:rPr>
          <w:noProof/>
        </w:rPr>
      </w:pPr>
      <w:r w:rsidRPr="00C11B45">
        <w:rPr>
          <w:noProof/>
        </w:rPr>
        <w:t>Sydeman, W. J., Garcia-Reyes, M., Schoeman, D. S., Rykaczewski, R. R., Thompson, S. A., Black, B. A. and Bograd, S. J.: Climate change and wind intensification in coastal upwelling ecosystems, Science (80-. )., 345(6192), 77–80, doi:10.1126/science.1251635, 2014.</w:t>
      </w:r>
    </w:p>
    <w:p w14:paraId="7AF90307" w14:textId="77777777" w:rsidR="00C11B45" w:rsidRPr="00C11B45" w:rsidRDefault="00C11B45" w:rsidP="00C11B45">
      <w:pPr>
        <w:widowControl w:val="0"/>
        <w:autoSpaceDE w:val="0"/>
        <w:autoSpaceDN w:val="0"/>
        <w:adjustRightInd w:val="0"/>
        <w:rPr>
          <w:noProof/>
        </w:rPr>
      </w:pPr>
      <w:r w:rsidRPr="00C11B45">
        <w:rPr>
          <w:noProof/>
        </w:rPr>
        <w:t>Takeshita, Y., Frieder, C. A., Martz, T. R., Ballard, J. R., Feely, R. A., Kram, S., Nam, S., Navarro, M. O., Price, N. N. and Smith, J. E.: Including high-frequency variability in coastal ocean acidification projections, Biogeosciences, 12, 5853–5870, doi:10.5194/bg-12-5853-2015, 2015.</w:t>
      </w:r>
    </w:p>
    <w:p w14:paraId="3DF62ADD" w14:textId="77777777" w:rsidR="00C11B45" w:rsidRPr="00C11B45" w:rsidRDefault="00C11B45" w:rsidP="00C11B45">
      <w:pPr>
        <w:widowControl w:val="0"/>
        <w:autoSpaceDE w:val="0"/>
        <w:autoSpaceDN w:val="0"/>
        <w:adjustRightInd w:val="0"/>
        <w:rPr>
          <w:noProof/>
        </w:rPr>
      </w:pPr>
      <w:r w:rsidRPr="00C11B45">
        <w:rPr>
          <w:noProof/>
        </w:rPr>
        <w:t>Walter, R. K., Woodson, C. B., Leary, P. R. and Monismith, S. G.: Connecting wind-drien upwelling and offshore stratification to nearshore internal bores and oxygen variability, J. Geophys. Res. Ocean., 119, 3517–3534, doi:10.1002/jgrc.20224, 2014.</w:t>
      </w:r>
    </w:p>
    <w:p w14:paraId="27D73BED" w14:textId="77777777" w:rsidR="00C11B45" w:rsidRPr="00C11B45" w:rsidRDefault="00C11B45" w:rsidP="00C11B45">
      <w:pPr>
        <w:widowControl w:val="0"/>
        <w:autoSpaceDE w:val="0"/>
        <w:autoSpaceDN w:val="0"/>
        <w:adjustRightInd w:val="0"/>
        <w:rPr>
          <w:noProof/>
        </w:rPr>
      </w:pPr>
      <w:r w:rsidRPr="00C11B45">
        <w:rPr>
          <w:noProof/>
        </w:rPr>
        <w:t>Weisberg, S. B., Bednaršek, N., Feely, R. A., Chan, F., Boehm, A. B., Sutula, M., Ruesink, J. L., Hales, B., Largier, J. L. and Newton, J. A.: Water quality criteria for an acidifying ocean: Challenges and opportunities for improvement, Ocean Coast. Manag., 126, 31–41, doi:10.1016/j.ocecoaman.2016.03.010, 2016.</w:t>
      </w:r>
    </w:p>
    <w:p w14:paraId="0722AC32" w14:textId="77777777" w:rsidR="00C11B45" w:rsidRPr="00C11B45" w:rsidRDefault="00C11B45" w:rsidP="00C11B45">
      <w:pPr>
        <w:widowControl w:val="0"/>
        <w:autoSpaceDE w:val="0"/>
        <w:autoSpaceDN w:val="0"/>
        <w:adjustRightInd w:val="0"/>
        <w:rPr>
          <w:noProof/>
        </w:rPr>
      </w:pPr>
      <w:r w:rsidRPr="00C11B45">
        <w:rPr>
          <w:noProof/>
        </w:rPr>
        <w:t>Woodson, C. B.: Spatiotemporal Variation in Cross-Shelf Exchange across the Inner Shelf of Monterey Bay, California, J. Phys. Oceanogr., 43, 1648–1665, doi:10.1175/JPO-D-11-0185.1, 2013.</w:t>
      </w:r>
    </w:p>
    <w:p w14:paraId="075F5DF3" w14:textId="2E6F8CB1" w:rsidR="001737C5" w:rsidRPr="001737C5" w:rsidRDefault="001737C5" w:rsidP="00C11B45">
      <w:pPr>
        <w:widowControl w:val="0"/>
        <w:autoSpaceDE w:val="0"/>
        <w:autoSpaceDN w:val="0"/>
        <w:adjustRightInd w:val="0"/>
      </w:pPr>
      <w:r>
        <w:fldChar w:fldCharType="end"/>
      </w:r>
    </w:p>
    <w:p w14:paraId="62E5AA2F" w14:textId="78C56417" w:rsidR="0080319A" w:rsidRPr="00995958" w:rsidRDefault="0080319A" w:rsidP="0080319A">
      <w:r>
        <w:t xml:space="preserve"> </w:t>
      </w:r>
    </w:p>
    <w:p w14:paraId="109E147C" w14:textId="64D874D1" w:rsidR="00F84096" w:rsidRDefault="00F84096">
      <w:pPr>
        <w:spacing w:line="240" w:lineRule="auto"/>
        <w:jc w:val="left"/>
        <w:rPr>
          <w:rFonts w:cs="Arial"/>
          <w:b/>
          <w:bCs/>
          <w:color w:val="000000"/>
          <w:kern w:val="32"/>
          <w:szCs w:val="32"/>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9"/>
        <w:gridCol w:w="1420"/>
        <w:gridCol w:w="1443"/>
        <w:gridCol w:w="1395"/>
        <w:gridCol w:w="1425"/>
      </w:tblGrid>
      <w:tr w:rsidR="00F84096" w:rsidRPr="0072453C" w14:paraId="77A166BE" w14:textId="77777777" w:rsidTr="00237799">
        <w:trPr>
          <w:jc w:val="center"/>
        </w:trPr>
        <w:tc>
          <w:tcPr>
            <w:tcW w:w="1369" w:type="dxa"/>
          </w:tcPr>
          <w:p w14:paraId="534A50FD" w14:textId="77777777" w:rsidR="00F84096" w:rsidRPr="0072453C" w:rsidRDefault="00F84096" w:rsidP="00237799">
            <w:pPr>
              <w:widowControl w:val="0"/>
              <w:autoSpaceDE w:val="0"/>
              <w:autoSpaceDN w:val="0"/>
              <w:adjustRightInd w:val="0"/>
              <w:spacing w:after="140"/>
              <w:jc w:val="center"/>
            </w:pPr>
            <w:r w:rsidRPr="0072453C">
              <w:lastRenderedPageBreak/>
              <w:t>Site</w:t>
            </w:r>
          </w:p>
        </w:tc>
        <w:tc>
          <w:tcPr>
            <w:tcW w:w="1420" w:type="dxa"/>
          </w:tcPr>
          <w:p w14:paraId="6511D4A5" w14:textId="77777777" w:rsidR="00F84096" w:rsidRPr="0072453C" w:rsidRDefault="00F84096" w:rsidP="00237799">
            <w:pPr>
              <w:widowControl w:val="0"/>
              <w:autoSpaceDE w:val="0"/>
              <w:autoSpaceDN w:val="0"/>
              <w:adjustRightInd w:val="0"/>
              <w:spacing w:after="140"/>
              <w:jc w:val="center"/>
            </w:pPr>
            <w:r w:rsidRPr="0072453C">
              <w:t>Latitude (</w:t>
            </w:r>
            <w:r w:rsidRPr="0072453C">
              <w:rPr>
                <w:color w:val="000000"/>
              </w:rPr>
              <w:t>°N</w:t>
            </w:r>
            <w:r w:rsidRPr="0072453C">
              <w:t>)</w:t>
            </w:r>
          </w:p>
        </w:tc>
        <w:tc>
          <w:tcPr>
            <w:tcW w:w="1443" w:type="dxa"/>
          </w:tcPr>
          <w:p w14:paraId="7817BCDE" w14:textId="77777777" w:rsidR="00F84096" w:rsidRPr="0072453C" w:rsidRDefault="00F84096" w:rsidP="00237799">
            <w:pPr>
              <w:widowControl w:val="0"/>
              <w:autoSpaceDE w:val="0"/>
              <w:autoSpaceDN w:val="0"/>
              <w:adjustRightInd w:val="0"/>
              <w:spacing w:after="140"/>
              <w:jc w:val="center"/>
            </w:pPr>
            <w:r w:rsidRPr="0072453C">
              <w:t>Longitude (</w:t>
            </w:r>
            <w:r w:rsidRPr="0072453C">
              <w:rPr>
                <w:color w:val="000000"/>
              </w:rPr>
              <w:t>°W</w:t>
            </w:r>
            <w:r w:rsidRPr="0072453C">
              <w:t>)</w:t>
            </w:r>
          </w:p>
        </w:tc>
        <w:tc>
          <w:tcPr>
            <w:tcW w:w="1395" w:type="dxa"/>
          </w:tcPr>
          <w:p w14:paraId="41B58550" w14:textId="77777777" w:rsidR="00F84096" w:rsidRPr="0072453C" w:rsidRDefault="00F84096" w:rsidP="00237799">
            <w:pPr>
              <w:widowControl w:val="0"/>
              <w:autoSpaceDE w:val="0"/>
              <w:autoSpaceDN w:val="0"/>
              <w:adjustRightInd w:val="0"/>
              <w:spacing w:after="140"/>
              <w:jc w:val="center"/>
            </w:pPr>
            <w:r w:rsidRPr="0072453C">
              <w:t>Depth (m)</w:t>
            </w:r>
          </w:p>
        </w:tc>
        <w:tc>
          <w:tcPr>
            <w:tcW w:w="1425" w:type="dxa"/>
          </w:tcPr>
          <w:p w14:paraId="6BC820DB" w14:textId="77777777" w:rsidR="00F84096" w:rsidRPr="0072453C" w:rsidRDefault="00F84096" w:rsidP="00237799">
            <w:pPr>
              <w:widowControl w:val="0"/>
              <w:autoSpaceDE w:val="0"/>
              <w:autoSpaceDN w:val="0"/>
              <w:adjustRightInd w:val="0"/>
              <w:spacing w:after="140"/>
              <w:jc w:val="center"/>
            </w:pPr>
            <w:r w:rsidRPr="0072453C">
              <w:t>Distance from shore (m)</w:t>
            </w:r>
          </w:p>
        </w:tc>
      </w:tr>
      <w:tr w:rsidR="00F84096" w:rsidRPr="0072453C" w14:paraId="5F0B14F3" w14:textId="77777777" w:rsidTr="00237799">
        <w:trPr>
          <w:jc w:val="center"/>
        </w:trPr>
        <w:tc>
          <w:tcPr>
            <w:tcW w:w="1369" w:type="dxa"/>
          </w:tcPr>
          <w:p w14:paraId="05EF8A87" w14:textId="77777777" w:rsidR="00F84096" w:rsidRPr="0072453C" w:rsidRDefault="00F84096" w:rsidP="00237799">
            <w:pPr>
              <w:widowControl w:val="0"/>
              <w:autoSpaceDE w:val="0"/>
              <w:autoSpaceDN w:val="0"/>
              <w:adjustRightInd w:val="0"/>
              <w:spacing w:after="140"/>
              <w:jc w:val="center"/>
            </w:pPr>
            <w:r>
              <w:t>Protected Offshore</w:t>
            </w:r>
          </w:p>
        </w:tc>
        <w:tc>
          <w:tcPr>
            <w:tcW w:w="1420" w:type="dxa"/>
          </w:tcPr>
          <w:p w14:paraId="51A20820" w14:textId="77777777" w:rsidR="00F84096" w:rsidRPr="0072453C" w:rsidRDefault="00F84096" w:rsidP="00237799">
            <w:pPr>
              <w:widowControl w:val="0"/>
              <w:autoSpaceDE w:val="0"/>
              <w:autoSpaceDN w:val="0"/>
              <w:adjustRightInd w:val="0"/>
              <w:spacing w:after="140"/>
              <w:jc w:val="center"/>
            </w:pPr>
            <w:r w:rsidRPr="0072453C">
              <w:rPr>
                <w:color w:val="000000"/>
              </w:rPr>
              <w:t>36.621983</w:t>
            </w:r>
          </w:p>
        </w:tc>
        <w:tc>
          <w:tcPr>
            <w:tcW w:w="1443" w:type="dxa"/>
          </w:tcPr>
          <w:p w14:paraId="501E9E79" w14:textId="77777777" w:rsidR="00F84096" w:rsidRPr="0072453C" w:rsidRDefault="00F84096" w:rsidP="00237799">
            <w:pPr>
              <w:widowControl w:val="0"/>
              <w:autoSpaceDE w:val="0"/>
              <w:autoSpaceDN w:val="0"/>
              <w:adjustRightInd w:val="0"/>
              <w:spacing w:after="140"/>
              <w:jc w:val="center"/>
            </w:pPr>
            <w:r w:rsidRPr="0072453C">
              <w:rPr>
                <w:color w:val="000000"/>
              </w:rPr>
              <w:t>121.900883</w:t>
            </w:r>
          </w:p>
        </w:tc>
        <w:tc>
          <w:tcPr>
            <w:tcW w:w="1395" w:type="dxa"/>
          </w:tcPr>
          <w:p w14:paraId="41B2628C" w14:textId="77777777" w:rsidR="00F84096" w:rsidRPr="0072453C" w:rsidRDefault="00F84096" w:rsidP="00237799">
            <w:pPr>
              <w:widowControl w:val="0"/>
              <w:autoSpaceDE w:val="0"/>
              <w:autoSpaceDN w:val="0"/>
              <w:adjustRightInd w:val="0"/>
              <w:spacing w:after="140"/>
              <w:jc w:val="center"/>
            </w:pPr>
            <w:r w:rsidRPr="0072453C">
              <w:t>16</w:t>
            </w:r>
          </w:p>
        </w:tc>
        <w:tc>
          <w:tcPr>
            <w:tcW w:w="1425" w:type="dxa"/>
          </w:tcPr>
          <w:p w14:paraId="737B5F7C" w14:textId="77777777" w:rsidR="00F84096" w:rsidRPr="0072453C" w:rsidRDefault="00F84096" w:rsidP="00237799">
            <w:pPr>
              <w:widowControl w:val="0"/>
              <w:autoSpaceDE w:val="0"/>
              <w:autoSpaceDN w:val="0"/>
              <w:adjustRightInd w:val="0"/>
              <w:spacing w:after="140"/>
              <w:jc w:val="center"/>
            </w:pPr>
            <w:r w:rsidRPr="0072453C">
              <w:t>250</w:t>
            </w:r>
          </w:p>
        </w:tc>
      </w:tr>
      <w:tr w:rsidR="00F84096" w:rsidRPr="0072453C" w14:paraId="31B1A29B" w14:textId="77777777" w:rsidTr="00237799">
        <w:trPr>
          <w:jc w:val="center"/>
        </w:trPr>
        <w:tc>
          <w:tcPr>
            <w:tcW w:w="1369" w:type="dxa"/>
          </w:tcPr>
          <w:p w14:paraId="472FA6B0" w14:textId="77777777" w:rsidR="00F84096" w:rsidRPr="0072453C" w:rsidRDefault="00F84096" w:rsidP="00237799">
            <w:pPr>
              <w:widowControl w:val="0"/>
              <w:autoSpaceDE w:val="0"/>
              <w:autoSpaceDN w:val="0"/>
              <w:adjustRightInd w:val="0"/>
              <w:spacing w:after="140"/>
              <w:jc w:val="center"/>
            </w:pPr>
            <w:r w:rsidRPr="0072453C">
              <w:t>Protected Middle</w:t>
            </w:r>
          </w:p>
        </w:tc>
        <w:tc>
          <w:tcPr>
            <w:tcW w:w="1420" w:type="dxa"/>
          </w:tcPr>
          <w:p w14:paraId="0A1A83CF" w14:textId="77777777" w:rsidR="00F84096" w:rsidRPr="0072453C" w:rsidRDefault="00F84096" w:rsidP="00237799">
            <w:pPr>
              <w:widowControl w:val="0"/>
              <w:autoSpaceDE w:val="0"/>
              <w:autoSpaceDN w:val="0"/>
              <w:adjustRightInd w:val="0"/>
              <w:spacing w:after="140"/>
              <w:jc w:val="center"/>
            </w:pPr>
            <w:r w:rsidRPr="0072453C">
              <w:rPr>
                <w:color w:val="000000"/>
              </w:rPr>
              <w:t>36.6216</w:t>
            </w:r>
          </w:p>
        </w:tc>
        <w:tc>
          <w:tcPr>
            <w:tcW w:w="1443" w:type="dxa"/>
          </w:tcPr>
          <w:p w14:paraId="363F55D2" w14:textId="77777777" w:rsidR="00F84096" w:rsidRPr="0072453C" w:rsidRDefault="00F84096" w:rsidP="00237799">
            <w:pPr>
              <w:widowControl w:val="0"/>
              <w:autoSpaceDE w:val="0"/>
              <w:autoSpaceDN w:val="0"/>
              <w:adjustRightInd w:val="0"/>
              <w:spacing w:after="140"/>
              <w:jc w:val="center"/>
            </w:pPr>
            <w:r w:rsidRPr="0072453C">
              <w:rPr>
                <w:color w:val="000000"/>
              </w:rPr>
              <w:t>121.90176</w:t>
            </w:r>
          </w:p>
        </w:tc>
        <w:tc>
          <w:tcPr>
            <w:tcW w:w="1395" w:type="dxa"/>
          </w:tcPr>
          <w:p w14:paraId="36CC26EA" w14:textId="77777777" w:rsidR="00F84096" w:rsidRPr="0072453C" w:rsidRDefault="00F84096" w:rsidP="00237799">
            <w:pPr>
              <w:widowControl w:val="0"/>
              <w:autoSpaceDE w:val="0"/>
              <w:autoSpaceDN w:val="0"/>
              <w:adjustRightInd w:val="0"/>
              <w:spacing w:after="140"/>
              <w:jc w:val="center"/>
            </w:pPr>
            <w:r w:rsidRPr="0072453C">
              <w:t>9</w:t>
            </w:r>
          </w:p>
        </w:tc>
        <w:tc>
          <w:tcPr>
            <w:tcW w:w="1425" w:type="dxa"/>
          </w:tcPr>
          <w:p w14:paraId="50FDBFBD" w14:textId="77777777" w:rsidR="00F84096" w:rsidRPr="0072453C" w:rsidRDefault="00F84096" w:rsidP="00237799">
            <w:pPr>
              <w:widowControl w:val="0"/>
              <w:autoSpaceDE w:val="0"/>
              <w:autoSpaceDN w:val="0"/>
              <w:adjustRightInd w:val="0"/>
              <w:spacing w:after="140"/>
              <w:jc w:val="center"/>
            </w:pPr>
            <w:r w:rsidRPr="0072453C">
              <w:t>160</w:t>
            </w:r>
          </w:p>
        </w:tc>
      </w:tr>
      <w:tr w:rsidR="00F84096" w:rsidRPr="0072453C" w14:paraId="71ED7334" w14:textId="77777777" w:rsidTr="00237799">
        <w:trPr>
          <w:jc w:val="center"/>
        </w:trPr>
        <w:tc>
          <w:tcPr>
            <w:tcW w:w="1369" w:type="dxa"/>
          </w:tcPr>
          <w:p w14:paraId="06B7F233" w14:textId="77777777" w:rsidR="00F84096" w:rsidRPr="0072453C" w:rsidRDefault="00F84096" w:rsidP="00237799">
            <w:pPr>
              <w:widowControl w:val="0"/>
              <w:autoSpaceDE w:val="0"/>
              <w:autoSpaceDN w:val="0"/>
              <w:adjustRightInd w:val="0"/>
              <w:spacing w:after="140"/>
              <w:jc w:val="center"/>
            </w:pPr>
            <w:r w:rsidRPr="0072453C">
              <w:t>Protected Inside</w:t>
            </w:r>
          </w:p>
        </w:tc>
        <w:tc>
          <w:tcPr>
            <w:tcW w:w="1420" w:type="dxa"/>
          </w:tcPr>
          <w:p w14:paraId="59D3327E" w14:textId="77777777" w:rsidR="00F84096" w:rsidRPr="0072453C" w:rsidRDefault="00F84096" w:rsidP="00237799">
            <w:pPr>
              <w:widowControl w:val="0"/>
              <w:autoSpaceDE w:val="0"/>
              <w:autoSpaceDN w:val="0"/>
              <w:adjustRightInd w:val="0"/>
              <w:spacing w:after="140"/>
              <w:jc w:val="center"/>
            </w:pPr>
            <w:r w:rsidRPr="0072453C">
              <w:rPr>
                <w:color w:val="000000"/>
              </w:rPr>
              <w:t>36.62132</w:t>
            </w:r>
          </w:p>
        </w:tc>
        <w:tc>
          <w:tcPr>
            <w:tcW w:w="1443" w:type="dxa"/>
          </w:tcPr>
          <w:p w14:paraId="1644ECCF" w14:textId="77777777" w:rsidR="00F84096" w:rsidRPr="0072453C" w:rsidRDefault="00F84096" w:rsidP="00237799">
            <w:pPr>
              <w:widowControl w:val="0"/>
              <w:autoSpaceDE w:val="0"/>
              <w:autoSpaceDN w:val="0"/>
              <w:adjustRightInd w:val="0"/>
              <w:spacing w:after="140"/>
              <w:jc w:val="center"/>
            </w:pPr>
            <w:r w:rsidRPr="0072453C">
              <w:rPr>
                <w:color w:val="000000"/>
              </w:rPr>
              <w:t>121.90195</w:t>
            </w:r>
          </w:p>
        </w:tc>
        <w:tc>
          <w:tcPr>
            <w:tcW w:w="1395" w:type="dxa"/>
          </w:tcPr>
          <w:p w14:paraId="6D3D7D4A" w14:textId="77777777" w:rsidR="00F84096" w:rsidRPr="0072453C" w:rsidRDefault="00F84096" w:rsidP="00237799">
            <w:pPr>
              <w:widowControl w:val="0"/>
              <w:autoSpaceDE w:val="0"/>
              <w:autoSpaceDN w:val="0"/>
              <w:adjustRightInd w:val="0"/>
              <w:spacing w:after="140"/>
              <w:jc w:val="center"/>
            </w:pPr>
            <w:r w:rsidRPr="0072453C">
              <w:t>7.5</w:t>
            </w:r>
          </w:p>
        </w:tc>
        <w:tc>
          <w:tcPr>
            <w:tcW w:w="1425" w:type="dxa"/>
          </w:tcPr>
          <w:p w14:paraId="6AFC73A5" w14:textId="77777777" w:rsidR="00F84096" w:rsidRPr="0072453C" w:rsidRDefault="00F84096" w:rsidP="00237799">
            <w:pPr>
              <w:widowControl w:val="0"/>
              <w:autoSpaceDE w:val="0"/>
              <w:autoSpaceDN w:val="0"/>
              <w:adjustRightInd w:val="0"/>
              <w:spacing w:after="140"/>
              <w:jc w:val="center"/>
            </w:pPr>
            <w:r w:rsidRPr="0072453C">
              <w:t>130</w:t>
            </w:r>
          </w:p>
        </w:tc>
      </w:tr>
      <w:tr w:rsidR="00F84096" w:rsidRPr="0072453C" w14:paraId="3B1F3269" w14:textId="77777777" w:rsidTr="00237799">
        <w:trPr>
          <w:jc w:val="center"/>
        </w:trPr>
        <w:tc>
          <w:tcPr>
            <w:tcW w:w="1369" w:type="dxa"/>
          </w:tcPr>
          <w:p w14:paraId="3D69923E" w14:textId="77777777" w:rsidR="00F84096" w:rsidRPr="0072453C" w:rsidRDefault="00F84096" w:rsidP="00237799">
            <w:pPr>
              <w:widowControl w:val="0"/>
              <w:autoSpaceDE w:val="0"/>
              <w:autoSpaceDN w:val="0"/>
              <w:adjustRightInd w:val="0"/>
              <w:spacing w:after="140"/>
              <w:jc w:val="center"/>
            </w:pPr>
            <w:r w:rsidRPr="0072453C">
              <w:t>KFA</w:t>
            </w:r>
          </w:p>
        </w:tc>
        <w:tc>
          <w:tcPr>
            <w:tcW w:w="1420" w:type="dxa"/>
          </w:tcPr>
          <w:p w14:paraId="161C3436" w14:textId="77777777" w:rsidR="00F84096" w:rsidRPr="0072453C" w:rsidRDefault="00F84096" w:rsidP="00237799">
            <w:pPr>
              <w:widowControl w:val="0"/>
              <w:autoSpaceDE w:val="0"/>
              <w:autoSpaceDN w:val="0"/>
              <w:adjustRightInd w:val="0"/>
              <w:spacing w:after="140"/>
              <w:jc w:val="center"/>
            </w:pPr>
            <w:r w:rsidRPr="0072453C">
              <w:rPr>
                <w:color w:val="000000"/>
              </w:rPr>
              <w:t>36.62363</w:t>
            </w:r>
          </w:p>
        </w:tc>
        <w:tc>
          <w:tcPr>
            <w:tcW w:w="1443" w:type="dxa"/>
          </w:tcPr>
          <w:p w14:paraId="530BAD5E" w14:textId="77777777" w:rsidR="00F84096" w:rsidRPr="0072453C" w:rsidRDefault="00F84096" w:rsidP="00237799">
            <w:pPr>
              <w:widowControl w:val="0"/>
              <w:autoSpaceDE w:val="0"/>
              <w:autoSpaceDN w:val="0"/>
              <w:adjustRightInd w:val="0"/>
              <w:spacing w:after="140"/>
              <w:jc w:val="center"/>
            </w:pPr>
            <w:r w:rsidRPr="0072453C">
              <w:rPr>
                <w:color w:val="000000"/>
              </w:rPr>
              <w:t>121.90473</w:t>
            </w:r>
          </w:p>
        </w:tc>
        <w:tc>
          <w:tcPr>
            <w:tcW w:w="1395" w:type="dxa"/>
          </w:tcPr>
          <w:p w14:paraId="0206E05F" w14:textId="77777777" w:rsidR="00F84096" w:rsidRPr="0072453C" w:rsidRDefault="00F84096" w:rsidP="00237799">
            <w:pPr>
              <w:widowControl w:val="0"/>
              <w:autoSpaceDE w:val="0"/>
              <w:autoSpaceDN w:val="0"/>
              <w:adjustRightInd w:val="0"/>
              <w:spacing w:after="140"/>
              <w:jc w:val="center"/>
            </w:pPr>
            <w:r w:rsidRPr="0072453C">
              <w:t>14</w:t>
            </w:r>
          </w:p>
        </w:tc>
        <w:tc>
          <w:tcPr>
            <w:tcW w:w="1425" w:type="dxa"/>
          </w:tcPr>
          <w:p w14:paraId="5CDA3B3B" w14:textId="77777777" w:rsidR="00F84096" w:rsidRPr="0072453C" w:rsidRDefault="00F84096" w:rsidP="00237799">
            <w:pPr>
              <w:widowControl w:val="0"/>
              <w:autoSpaceDE w:val="0"/>
              <w:autoSpaceDN w:val="0"/>
              <w:adjustRightInd w:val="0"/>
              <w:spacing w:after="140"/>
              <w:jc w:val="center"/>
            </w:pPr>
            <w:r w:rsidRPr="0072453C">
              <w:t>270</w:t>
            </w:r>
          </w:p>
        </w:tc>
      </w:tr>
      <w:tr w:rsidR="00F84096" w:rsidRPr="0072453C" w14:paraId="62FA5AA0" w14:textId="77777777" w:rsidTr="00237799">
        <w:trPr>
          <w:jc w:val="center"/>
        </w:trPr>
        <w:tc>
          <w:tcPr>
            <w:tcW w:w="1369" w:type="dxa"/>
          </w:tcPr>
          <w:p w14:paraId="36DDA6CF" w14:textId="77777777" w:rsidR="00F84096" w:rsidRPr="0072453C" w:rsidRDefault="00F84096" w:rsidP="00237799">
            <w:pPr>
              <w:widowControl w:val="0"/>
              <w:autoSpaceDE w:val="0"/>
              <w:autoSpaceDN w:val="0"/>
              <w:adjustRightInd w:val="0"/>
              <w:spacing w:after="140"/>
              <w:jc w:val="center"/>
            </w:pPr>
            <w:r>
              <w:t>Exposed Offshore</w:t>
            </w:r>
          </w:p>
        </w:tc>
        <w:tc>
          <w:tcPr>
            <w:tcW w:w="1420" w:type="dxa"/>
          </w:tcPr>
          <w:p w14:paraId="705523AB" w14:textId="77777777" w:rsidR="00F84096" w:rsidRPr="0072453C" w:rsidRDefault="00F84096" w:rsidP="00237799">
            <w:pPr>
              <w:widowControl w:val="0"/>
              <w:autoSpaceDE w:val="0"/>
              <w:autoSpaceDN w:val="0"/>
              <w:adjustRightInd w:val="0"/>
              <w:spacing w:after="140"/>
              <w:jc w:val="center"/>
            </w:pPr>
            <w:r w:rsidRPr="0072453C">
              <w:rPr>
                <w:color w:val="000000"/>
              </w:rPr>
              <w:t>36.62316</w:t>
            </w:r>
          </w:p>
        </w:tc>
        <w:tc>
          <w:tcPr>
            <w:tcW w:w="1443" w:type="dxa"/>
          </w:tcPr>
          <w:p w14:paraId="0D465A79" w14:textId="77777777" w:rsidR="00F84096" w:rsidRPr="0072453C" w:rsidRDefault="00F84096" w:rsidP="00237799">
            <w:pPr>
              <w:widowControl w:val="0"/>
              <w:autoSpaceDE w:val="0"/>
              <w:autoSpaceDN w:val="0"/>
              <w:adjustRightInd w:val="0"/>
              <w:spacing w:after="140"/>
              <w:jc w:val="center"/>
            </w:pPr>
            <w:r w:rsidRPr="0072453C">
              <w:rPr>
                <w:color w:val="000000"/>
              </w:rPr>
              <w:t>121.90503</w:t>
            </w:r>
          </w:p>
        </w:tc>
        <w:tc>
          <w:tcPr>
            <w:tcW w:w="1395" w:type="dxa"/>
          </w:tcPr>
          <w:p w14:paraId="5F099777" w14:textId="77777777" w:rsidR="00F84096" w:rsidRPr="0072453C" w:rsidRDefault="00F84096" w:rsidP="00237799">
            <w:pPr>
              <w:widowControl w:val="0"/>
              <w:autoSpaceDE w:val="0"/>
              <w:autoSpaceDN w:val="0"/>
              <w:adjustRightInd w:val="0"/>
              <w:spacing w:after="140"/>
              <w:jc w:val="center"/>
            </w:pPr>
            <w:r w:rsidRPr="0072453C">
              <w:t>13.5</w:t>
            </w:r>
          </w:p>
        </w:tc>
        <w:tc>
          <w:tcPr>
            <w:tcW w:w="1425" w:type="dxa"/>
          </w:tcPr>
          <w:p w14:paraId="0E04A353" w14:textId="77777777" w:rsidR="00F84096" w:rsidRPr="0072453C" w:rsidRDefault="00F84096" w:rsidP="00237799">
            <w:pPr>
              <w:widowControl w:val="0"/>
              <w:autoSpaceDE w:val="0"/>
              <w:autoSpaceDN w:val="0"/>
              <w:adjustRightInd w:val="0"/>
              <w:spacing w:after="140"/>
              <w:jc w:val="center"/>
            </w:pPr>
            <w:r w:rsidRPr="0072453C">
              <w:t>200</w:t>
            </w:r>
          </w:p>
        </w:tc>
      </w:tr>
      <w:tr w:rsidR="00F84096" w:rsidRPr="0072453C" w14:paraId="218DB1F8" w14:textId="77777777" w:rsidTr="00237799">
        <w:trPr>
          <w:jc w:val="center"/>
        </w:trPr>
        <w:tc>
          <w:tcPr>
            <w:tcW w:w="1369" w:type="dxa"/>
          </w:tcPr>
          <w:p w14:paraId="3973A429" w14:textId="77777777" w:rsidR="00F84096" w:rsidRPr="0072453C" w:rsidRDefault="00F84096" w:rsidP="00237799">
            <w:pPr>
              <w:widowControl w:val="0"/>
              <w:autoSpaceDE w:val="0"/>
              <w:autoSpaceDN w:val="0"/>
              <w:adjustRightInd w:val="0"/>
              <w:spacing w:after="140"/>
              <w:jc w:val="center"/>
            </w:pPr>
            <w:r w:rsidRPr="0072453C">
              <w:t>Exposed Middle</w:t>
            </w:r>
          </w:p>
        </w:tc>
        <w:tc>
          <w:tcPr>
            <w:tcW w:w="1420" w:type="dxa"/>
          </w:tcPr>
          <w:p w14:paraId="246D9249" w14:textId="77777777" w:rsidR="00F84096" w:rsidRPr="0072453C" w:rsidRDefault="00F84096" w:rsidP="00237799">
            <w:pPr>
              <w:widowControl w:val="0"/>
              <w:autoSpaceDE w:val="0"/>
              <w:autoSpaceDN w:val="0"/>
              <w:adjustRightInd w:val="0"/>
              <w:spacing w:after="140"/>
              <w:jc w:val="center"/>
            </w:pPr>
            <w:r w:rsidRPr="0072453C">
              <w:rPr>
                <w:color w:val="000000"/>
              </w:rPr>
              <w:t>36.62093889</w:t>
            </w:r>
          </w:p>
        </w:tc>
        <w:tc>
          <w:tcPr>
            <w:tcW w:w="1443" w:type="dxa"/>
          </w:tcPr>
          <w:p w14:paraId="1A91C8BF" w14:textId="77777777" w:rsidR="00F84096" w:rsidRPr="0072453C" w:rsidRDefault="00F84096" w:rsidP="00237799">
            <w:pPr>
              <w:widowControl w:val="0"/>
              <w:autoSpaceDE w:val="0"/>
              <w:autoSpaceDN w:val="0"/>
              <w:adjustRightInd w:val="0"/>
              <w:spacing w:after="140"/>
              <w:jc w:val="center"/>
            </w:pPr>
            <w:r w:rsidRPr="0072453C">
              <w:rPr>
                <w:color w:val="000000"/>
              </w:rPr>
              <w:t>121.9003806</w:t>
            </w:r>
          </w:p>
        </w:tc>
        <w:tc>
          <w:tcPr>
            <w:tcW w:w="1395" w:type="dxa"/>
          </w:tcPr>
          <w:p w14:paraId="65CF1323" w14:textId="77777777" w:rsidR="00F84096" w:rsidRPr="0072453C" w:rsidRDefault="00F84096" w:rsidP="00237799">
            <w:pPr>
              <w:widowControl w:val="0"/>
              <w:autoSpaceDE w:val="0"/>
              <w:autoSpaceDN w:val="0"/>
              <w:adjustRightInd w:val="0"/>
              <w:spacing w:after="140"/>
              <w:jc w:val="center"/>
            </w:pPr>
            <w:r w:rsidRPr="0072453C">
              <w:t>11</w:t>
            </w:r>
          </w:p>
        </w:tc>
        <w:tc>
          <w:tcPr>
            <w:tcW w:w="1425" w:type="dxa"/>
          </w:tcPr>
          <w:p w14:paraId="541E180E" w14:textId="77777777" w:rsidR="00F84096" w:rsidRPr="0072453C" w:rsidRDefault="00F84096" w:rsidP="00237799">
            <w:pPr>
              <w:widowControl w:val="0"/>
              <w:autoSpaceDE w:val="0"/>
              <w:autoSpaceDN w:val="0"/>
              <w:adjustRightInd w:val="0"/>
              <w:spacing w:after="140"/>
              <w:jc w:val="center"/>
            </w:pPr>
            <w:r w:rsidRPr="0072453C">
              <w:t>160</w:t>
            </w:r>
          </w:p>
        </w:tc>
      </w:tr>
    </w:tbl>
    <w:p w14:paraId="53F14B9D" w14:textId="1EFEC44D" w:rsidR="00F84096" w:rsidRPr="00DB1E1F" w:rsidRDefault="00F84096" w:rsidP="00F84096">
      <w:pPr>
        <w:pStyle w:val="Caption"/>
        <w:jc w:val="center"/>
      </w:pPr>
      <w:r w:rsidRPr="001314AA">
        <w:t>Table 1:</w:t>
      </w:r>
      <w:r w:rsidRPr="00DB1E1F">
        <w:t xml:space="preserve"> Study site characteristics. Distance from shore measured from </w:t>
      </w:r>
      <w:r>
        <w:t xml:space="preserve">the </w:t>
      </w:r>
      <w:r w:rsidRPr="00DB1E1F">
        <w:t xml:space="preserve">closest </w:t>
      </w:r>
      <w:r>
        <w:t>perpendicular</w:t>
      </w:r>
      <w:r w:rsidRPr="00DB1E1F">
        <w:t xml:space="preserve"> location</w:t>
      </w:r>
      <w:r>
        <w:t>.</w:t>
      </w:r>
    </w:p>
    <w:p w14:paraId="61ACE9F3" w14:textId="4197FE3F" w:rsidR="00F84096" w:rsidRPr="00F84096" w:rsidRDefault="00F84096">
      <w:pPr>
        <w:spacing w:line="240" w:lineRule="auto"/>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7"/>
        <w:gridCol w:w="1749"/>
        <w:gridCol w:w="1737"/>
        <w:gridCol w:w="1713"/>
        <w:gridCol w:w="1740"/>
      </w:tblGrid>
      <w:tr w:rsidR="00F84096" w:rsidRPr="0072453C" w14:paraId="78068613" w14:textId="77777777" w:rsidTr="00F84096">
        <w:trPr>
          <w:jc w:val="center"/>
        </w:trPr>
        <w:tc>
          <w:tcPr>
            <w:tcW w:w="1917" w:type="dxa"/>
          </w:tcPr>
          <w:p w14:paraId="18BB0D3E" w14:textId="77777777" w:rsidR="00F84096" w:rsidRPr="0072453C" w:rsidRDefault="00F84096" w:rsidP="00237799">
            <w:pPr>
              <w:jc w:val="center"/>
            </w:pPr>
            <w:r w:rsidRPr="0072453C">
              <w:lastRenderedPageBreak/>
              <w:t>Variable</w:t>
            </w:r>
          </w:p>
        </w:tc>
        <w:tc>
          <w:tcPr>
            <w:tcW w:w="1749" w:type="dxa"/>
          </w:tcPr>
          <w:p w14:paraId="5AF7CCCD" w14:textId="77777777" w:rsidR="00F84096" w:rsidRPr="0072453C" w:rsidRDefault="00F84096" w:rsidP="00237799">
            <w:pPr>
              <w:jc w:val="center"/>
            </w:pPr>
            <w:r w:rsidRPr="0072453C">
              <w:t>Top/Bottom</w:t>
            </w:r>
          </w:p>
        </w:tc>
        <w:tc>
          <w:tcPr>
            <w:tcW w:w="1737" w:type="dxa"/>
          </w:tcPr>
          <w:p w14:paraId="6F78C709" w14:textId="77777777" w:rsidR="00F84096" w:rsidRPr="0072453C" w:rsidRDefault="00F84096" w:rsidP="00237799">
            <w:pPr>
              <w:jc w:val="center"/>
            </w:pPr>
            <w:r w:rsidRPr="0072453C">
              <w:t>Minimum</w:t>
            </w:r>
          </w:p>
        </w:tc>
        <w:tc>
          <w:tcPr>
            <w:tcW w:w="1713" w:type="dxa"/>
          </w:tcPr>
          <w:p w14:paraId="07789A10" w14:textId="77777777" w:rsidR="00F84096" w:rsidRPr="0072453C" w:rsidRDefault="00F84096" w:rsidP="00237799">
            <w:pPr>
              <w:jc w:val="center"/>
            </w:pPr>
            <w:r w:rsidRPr="0072453C">
              <w:t>Mean</w:t>
            </w:r>
          </w:p>
        </w:tc>
        <w:tc>
          <w:tcPr>
            <w:tcW w:w="1740" w:type="dxa"/>
          </w:tcPr>
          <w:p w14:paraId="38BAF99B" w14:textId="77777777" w:rsidR="00F84096" w:rsidRPr="0072453C" w:rsidRDefault="00F84096" w:rsidP="00237799">
            <w:pPr>
              <w:jc w:val="center"/>
            </w:pPr>
            <w:r w:rsidRPr="0072453C">
              <w:t>Maximum</w:t>
            </w:r>
          </w:p>
        </w:tc>
      </w:tr>
      <w:tr w:rsidR="00F84096" w:rsidRPr="0072453C" w14:paraId="0CF15DFF" w14:textId="77777777" w:rsidTr="00F84096">
        <w:trPr>
          <w:trHeight w:val="112"/>
          <w:jc w:val="center"/>
        </w:trPr>
        <w:tc>
          <w:tcPr>
            <w:tcW w:w="1917" w:type="dxa"/>
            <w:vMerge w:val="restart"/>
          </w:tcPr>
          <w:p w14:paraId="2D526DC8" w14:textId="77777777" w:rsidR="00F84096" w:rsidRPr="0072453C" w:rsidRDefault="00F84096" w:rsidP="00237799">
            <w:pPr>
              <w:jc w:val="center"/>
            </w:pPr>
            <w:r w:rsidRPr="0072453C">
              <w:t>DIC (</w:t>
            </w:r>
            <w:proofErr w:type="spellStart"/>
            <w:r w:rsidRPr="0072453C">
              <w:t>μmol</w:t>
            </w:r>
            <w:proofErr w:type="spellEnd"/>
            <w:r w:rsidRPr="0072453C">
              <w:t xml:space="preserve"> kg</w:t>
            </w:r>
            <w:r w:rsidRPr="0072453C">
              <w:rPr>
                <w:vertAlign w:val="superscript"/>
              </w:rPr>
              <w:t>-1</w:t>
            </w:r>
            <w:r w:rsidRPr="0072453C">
              <w:t>)</w:t>
            </w:r>
          </w:p>
        </w:tc>
        <w:tc>
          <w:tcPr>
            <w:tcW w:w="1749" w:type="dxa"/>
          </w:tcPr>
          <w:p w14:paraId="4E4A5444" w14:textId="77777777" w:rsidR="00F84096" w:rsidRPr="0072453C" w:rsidRDefault="00F84096" w:rsidP="00237799">
            <w:pPr>
              <w:jc w:val="center"/>
            </w:pPr>
            <w:r w:rsidRPr="0072453C">
              <w:t>Top</w:t>
            </w:r>
          </w:p>
        </w:tc>
        <w:tc>
          <w:tcPr>
            <w:tcW w:w="1737" w:type="dxa"/>
          </w:tcPr>
          <w:p w14:paraId="148FA0E7" w14:textId="77777777" w:rsidR="00F84096" w:rsidRPr="0072453C" w:rsidRDefault="00F84096" w:rsidP="00237799">
            <w:pPr>
              <w:jc w:val="center"/>
            </w:pPr>
            <w:r w:rsidRPr="0072453C">
              <w:t>1853</w:t>
            </w:r>
          </w:p>
        </w:tc>
        <w:tc>
          <w:tcPr>
            <w:tcW w:w="1713" w:type="dxa"/>
          </w:tcPr>
          <w:p w14:paraId="651C7C7B" w14:textId="77777777" w:rsidR="00F84096" w:rsidRPr="0072453C" w:rsidRDefault="00F84096" w:rsidP="00237799">
            <w:pPr>
              <w:jc w:val="center"/>
            </w:pPr>
            <w:r w:rsidRPr="0072453C">
              <w:t>2023</w:t>
            </w:r>
          </w:p>
        </w:tc>
        <w:tc>
          <w:tcPr>
            <w:tcW w:w="1740" w:type="dxa"/>
          </w:tcPr>
          <w:p w14:paraId="10E06E3A" w14:textId="77777777" w:rsidR="00F84096" w:rsidRPr="0072453C" w:rsidRDefault="00F84096" w:rsidP="00237799">
            <w:pPr>
              <w:jc w:val="center"/>
            </w:pPr>
            <w:r w:rsidRPr="0072453C">
              <w:t>2110</w:t>
            </w:r>
          </w:p>
        </w:tc>
      </w:tr>
      <w:tr w:rsidR="00F84096" w:rsidRPr="0072453C" w14:paraId="417006E5" w14:textId="77777777" w:rsidTr="00F84096">
        <w:trPr>
          <w:trHeight w:val="112"/>
          <w:jc w:val="center"/>
        </w:trPr>
        <w:tc>
          <w:tcPr>
            <w:tcW w:w="1917" w:type="dxa"/>
            <w:vMerge/>
          </w:tcPr>
          <w:p w14:paraId="22AFB896" w14:textId="77777777" w:rsidR="00F84096" w:rsidRPr="0072453C" w:rsidRDefault="00F84096" w:rsidP="00237799">
            <w:pPr>
              <w:jc w:val="center"/>
            </w:pPr>
          </w:p>
        </w:tc>
        <w:tc>
          <w:tcPr>
            <w:tcW w:w="1749" w:type="dxa"/>
          </w:tcPr>
          <w:p w14:paraId="4A4907C4" w14:textId="77777777" w:rsidR="00F84096" w:rsidRPr="0072453C" w:rsidRDefault="00F84096" w:rsidP="00237799">
            <w:pPr>
              <w:jc w:val="center"/>
            </w:pPr>
            <w:r w:rsidRPr="0072453C">
              <w:t>Bottom</w:t>
            </w:r>
          </w:p>
        </w:tc>
        <w:tc>
          <w:tcPr>
            <w:tcW w:w="1737" w:type="dxa"/>
          </w:tcPr>
          <w:p w14:paraId="6EBBC9A9" w14:textId="77777777" w:rsidR="00F84096" w:rsidRPr="0072453C" w:rsidRDefault="00F84096" w:rsidP="00237799">
            <w:pPr>
              <w:jc w:val="center"/>
            </w:pPr>
            <w:r w:rsidRPr="0072453C">
              <w:t>1958</w:t>
            </w:r>
          </w:p>
        </w:tc>
        <w:tc>
          <w:tcPr>
            <w:tcW w:w="1713" w:type="dxa"/>
          </w:tcPr>
          <w:p w14:paraId="353441F8" w14:textId="77777777" w:rsidR="00F84096" w:rsidRPr="0072453C" w:rsidRDefault="00F84096" w:rsidP="00237799">
            <w:pPr>
              <w:jc w:val="center"/>
            </w:pPr>
            <w:r w:rsidRPr="0072453C">
              <w:t>2093</w:t>
            </w:r>
          </w:p>
        </w:tc>
        <w:tc>
          <w:tcPr>
            <w:tcW w:w="1740" w:type="dxa"/>
          </w:tcPr>
          <w:p w14:paraId="30D39E63" w14:textId="77777777" w:rsidR="00F84096" w:rsidRPr="0072453C" w:rsidRDefault="00F84096" w:rsidP="00237799">
            <w:pPr>
              <w:jc w:val="center"/>
            </w:pPr>
            <w:r w:rsidRPr="0072453C">
              <w:t>2225</w:t>
            </w:r>
          </w:p>
        </w:tc>
      </w:tr>
      <w:tr w:rsidR="00F84096" w:rsidRPr="0072453C" w14:paraId="21084606" w14:textId="77777777" w:rsidTr="00F84096">
        <w:trPr>
          <w:trHeight w:val="112"/>
          <w:jc w:val="center"/>
        </w:trPr>
        <w:tc>
          <w:tcPr>
            <w:tcW w:w="1917" w:type="dxa"/>
            <w:vMerge w:val="restart"/>
          </w:tcPr>
          <w:p w14:paraId="01C54B3F" w14:textId="77777777" w:rsidR="00F84096" w:rsidRPr="0072453C" w:rsidRDefault="00F84096" w:rsidP="00237799">
            <w:pPr>
              <w:jc w:val="center"/>
            </w:pPr>
            <w:r w:rsidRPr="0072453C">
              <w:t>TA (</w:t>
            </w:r>
            <w:proofErr w:type="spellStart"/>
            <w:r w:rsidRPr="0072453C">
              <w:t>μmol</w:t>
            </w:r>
            <w:proofErr w:type="spellEnd"/>
            <w:r w:rsidRPr="0072453C">
              <w:t xml:space="preserve"> kg</w:t>
            </w:r>
            <w:r w:rsidRPr="0072453C">
              <w:rPr>
                <w:vertAlign w:val="superscript"/>
              </w:rPr>
              <w:t>-1</w:t>
            </w:r>
            <w:r w:rsidRPr="0072453C">
              <w:t>)</w:t>
            </w:r>
          </w:p>
        </w:tc>
        <w:tc>
          <w:tcPr>
            <w:tcW w:w="1749" w:type="dxa"/>
          </w:tcPr>
          <w:p w14:paraId="08E47161" w14:textId="77777777" w:rsidR="00F84096" w:rsidRPr="0072453C" w:rsidRDefault="00F84096" w:rsidP="00237799">
            <w:pPr>
              <w:jc w:val="center"/>
            </w:pPr>
            <w:r w:rsidRPr="0072453C">
              <w:t>Top</w:t>
            </w:r>
          </w:p>
        </w:tc>
        <w:tc>
          <w:tcPr>
            <w:tcW w:w="1737" w:type="dxa"/>
          </w:tcPr>
          <w:p w14:paraId="3EDE4047" w14:textId="77777777" w:rsidR="00F84096" w:rsidRPr="0072453C" w:rsidRDefault="00F84096" w:rsidP="00237799">
            <w:pPr>
              <w:jc w:val="center"/>
            </w:pPr>
            <w:r w:rsidRPr="0072453C">
              <w:t>2213</w:t>
            </w:r>
          </w:p>
        </w:tc>
        <w:tc>
          <w:tcPr>
            <w:tcW w:w="1713" w:type="dxa"/>
          </w:tcPr>
          <w:p w14:paraId="6F54AA70" w14:textId="77777777" w:rsidR="00F84096" w:rsidRPr="0072453C" w:rsidRDefault="00F84096" w:rsidP="00237799">
            <w:pPr>
              <w:jc w:val="center"/>
            </w:pPr>
            <w:r w:rsidRPr="0072453C">
              <w:t>2243</w:t>
            </w:r>
          </w:p>
        </w:tc>
        <w:tc>
          <w:tcPr>
            <w:tcW w:w="1740" w:type="dxa"/>
          </w:tcPr>
          <w:p w14:paraId="1E1B869F" w14:textId="77777777" w:rsidR="00F84096" w:rsidRPr="0072453C" w:rsidRDefault="00F84096" w:rsidP="00237799">
            <w:pPr>
              <w:jc w:val="center"/>
            </w:pPr>
            <w:r w:rsidRPr="0072453C">
              <w:t>2277</w:t>
            </w:r>
          </w:p>
        </w:tc>
      </w:tr>
      <w:tr w:rsidR="00F84096" w:rsidRPr="0072453C" w14:paraId="07BAEDCE" w14:textId="77777777" w:rsidTr="00F84096">
        <w:trPr>
          <w:trHeight w:val="112"/>
          <w:jc w:val="center"/>
        </w:trPr>
        <w:tc>
          <w:tcPr>
            <w:tcW w:w="1917" w:type="dxa"/>
            <w:vMerge/>
          </w:tcPr>
          <w:p w14:paraId="557319DD" w14:textId="77777777" w:rsidR="00F84096" w:rsidRPr="0072453C" w:rsidRDefault="00F84096" w:rsidP="00237799">
            <w:pPr>
              <w:jc w:val="center"/>
            </w:pPr>
          </w:p>
        </w:tc>
        <w:tc>
          <w:tcPr>
            <w:tcW w:w="1749" w:type="dxa"/>
          </w:tcPr>
          <w:p w14:paraId="3BB40A47" w14:textId="77777777" w:rsidR="00F84096" w:rsidRPr="0072453C" w:rsidRDefault="00F84096" w:rsidP="00237799">
            <w:pPr>
              <w:jc w:val="center"/>
            </w:pPr>
            <w:r w:rsidRPr="0072453C">
              <w:t>Bottom</w:t>
            </w:r>
          </w:p>
        </w:tc>
        <w:tc>
          <w:tcPr>
            <w:tcW w:w="1737" w:type="dxa"/>
          </w:tcPr>
          <w:p w14:paraId="04FB1B37" w14:textId="77777777" w:rsidR="00F84096" w:rsidRPr="0072453C" w:rsidRDefault="00F84096" w:rsidP="00237799">
            <w:pPr>
              <w:jc w:val="center"/>
            </w:pPr>
            <w:r w:rsidRPr="0072453C">
              <w:t>2199</w:t>
            </w:r>
          </w:p>
        </w:tc>
        <w:tc>
          <w:tcPr>
            <w:tcW w:w="1713" w:type="dxa"/>
          </w:tcPr>
          <w:p w14:paraId="304FC328" w14:textId="77777777" w:rsidR="00F84096" w:rsidRPr="0072453C" w:rsidRDefault="00F84096" w:rsidP="00237799">
            <w:pPr>
              <w:jc w:val="center"/>
            </w:pPr>
            <w:r w:rsidRPr="0072453C">
              <w:t>2249</w:t>
            </w:r>
          </w:p>
        </w:tc>
        <w:tc>
          <w:tcPr>
            <w:tcW w:w="1740" w:type="dxa"/>
          </w:tcPr>
          <w:p w14:paraId="7EFE9584" w14:textId="77777777" w:rsidR="00F84096" w:rsidRPr="0072453C" w:rsidRDefault="00F84096" w:rsidP="00237799">
            <w:pPr>
              <w:jc w:val="center"/>
            </w:pPr>
            <w:r w:rsidRPr="0072453C">
              <w:t>2337</w:t>
            </w:r>
          </w:p>
        </w:tc>
      </w:tr>
      <w:tr w:rsidR="00F84096" w:rsidRPr="0072453C" w14:paraId="63B919A2" w14:textId="77777777" w:rsidTr="00F84096">
        <w:trPr>
          <w:trHeight w:val="112"/>
          <w:jc w:val="center"/>
        </w:trPr>
        <w:tc>
          <w:tcPr>
            <w:tcW w:w="1917" w:type="dxa"/>
            <w:vMerge w:val="restart"/>
          </w:tcPr>
          <w:p w14:paraId="2941AD43" w14:textId="77777777" w:rsidR="00F84096" w:rsidRPr="0072453C" w:rsidRDefault="00F84096" w:rsidP="00237799">
            <w:pPr>
              <w:jc w:val="center"/>
            </w:pPr>
            <w:proofErr w:type="gramStart"/>
            <w:r w:rsidRPr="0072453C">
              <w:t>pH</w:t>
            </w:r>
            <w:proofErr w:type="gramEnd"/>
          </w:p>
        </w:tc>
        <w:tc>
          <w:tcPr>
            <w:tcW w:w="1749" w:type="dxa"/>
          </w:tcPr>
          <w:p w14:paraId="57A0AA5F" w14:textId="77777777" w:rsidR="00F84096" w:rsidRPr="0072453C" w:rsidRDefault="00F84096" w:rsidP="00237799">
            <w:pPr>
              <w:jc w:val="center"/>
            </w:pPr>
            <w:r w:rsidRPr="0072453C">
              <w:t>Top</w:t>
            </w:r>
          </w:p>
        </w:tc>
        <w:tc>
          <w:tcPr>
            <w:tcW w:w="1737" w:type="dxa"/>
          </w:tcPr>
          <w:p w14:paraId="49B4DFD8" w14:textId="77777777" w:rsidR="00F84096" w:rsidRPr="0072453C" w:rsidRDefault="00F84096" w:rsidP="00237799">
            <w:pPr>
              <w:jc w:val="center"/>
            </w:pPr>
            <w:r w:rsidRPr="0072453C">
              <w:t>7.92</w:t>
            </w:r>
          </w:p>
        </w:tc>
        <w:tc>
          <w:tcPr>
            <w:tcW w:w="1713" w:type="dxa"/>
          </w:tcPr>
          <w:p w14:paraId="3AFC396F" w14:textId="77777777" w:rsidR="00F84096" w:rsidRPr="0072453C" w:rsidRDefault="00F84096" w:rsidP="00237799">
            <w:pPr>
              <w:jc w:val="center"/>
            </w:pPr>
            <w:r w:rsidRPr="0072453C">
              <w:t>8.08</w:t>
            </w:r>
          </w:p>
        </w:tc>
        <w:tc>
          <w:tcPr>
            <w:tcW w:w="1740" w:type="dxa"/>
          </w:tcPr>
          <w:p w14:paraId="79343A9A" w14:textId="77777777" w:rsidR="00F84096" w:rsidRPr="0072453C" w:rsidRDefault="00F84096" w:rsidP="00237799">
            <w:pPr>
              <w:jc w:val="center"/>
            </w:pPr>
            <w:r w:rsidRPr="0072453C">
              <w:t>8.33</w:t>
            </w:r>
          </w:p>
        </w:tc>
      </w:tr>
      <w:tr w:rsidR="00F84096" w:rsidRPr="0072453C" w14:paraId="271B53AA" w14:textId="77777777" w:rsidTr="00F84096">
        <w:trPr>
          <w:trHeight w:val="112"/>
          <w:jc w:val="center"/>
        </w:trPr>
        <w:tc>
          <w:tcPr>
            <w:tcW w:w="1917" w:type="dxa"/>
            <w:vMerge/>
          </w:tcPr>
          <w:p w14:paraId="4F194713" w14:textId="77777777" w:rsidR="00F84096" w:rsidRPr="0072453C" w:rsidRDefault="00F84096" w:rsidP="00237799">
            <w:pPr>
              <w:jc w:val="center"/>
            </w:pPr>
          </w:p>
        </w:tc>
        <w:tc>
          <w:tcPr>
            <w:tcW w:w="1749" w:type="dxa"/>
          </w:tcPr>
          <w:p w14:paraId="17C87AF9" w14:textId="77777777" w:rsidR="00F84096" w:rsidRPr="0072453C" w:rsidRDefault="00F84096" w:rsidP="00237799">
            <w:pPr>
              <w:jc w:val="center"/>
            </w:pPr>
            <w:r w:rsidRPr="0072453C">
              <w:t>Bottom</w:t>
            </w:r>
          </w:p>
        </w:tc>
        <w:tc>
          <w:tcPr>
            <w:tcW w:w="1737" w:type="dxa"/>
          </w:tcPr>
          <w:p w14:paraId="0122587C" w14:textId="77777777" w:rsidR="00F84096" w:rsidRPr="0072453C" w:rsidRDefault="00F84096" w:rsidP="00237799">
            <w:pPr>
              <w:jc w:val="center"/>
            </w:pPr>
            <w:r w:rsidRPr="0072453C">
              <w:t>7.70</w:t>
            </w:r>
          </w:p>
        </w:tc>
        <w:tc>
          <w:tcPr>
            <w:tcW w:w="1713" w:type="dxa"/>
          </w:tcPr>
          <w:p w14:paraId="1DA93F1A" w14:textId="77777777" w:rsidR="00F84096" w:rsidRPr="0072453C" w:rsidRDefault="00F84096" w:rsidP="00237799">
            <w:pPr>
              <w:jc w:val="center"/>
            </w:pPr>
            <w:r w:rsidRPr="0072453C">
              <w:t>7.96</w:t>
            </w:r>
          </w:p>
        </w:tc>
        <w:tc>
          <w:tcPr>
            <w:tcW w:w="1740" w:type="dxa"/>
          </w:tcPr>
          <w:p w14:paraId="00E688D0" w14:textId="77777777" w:rsidR="00F84096" w:rsidRPr="0072453C" w:rsidRDefault="00F84096" w:rsidP="00237799">
            <w:pPr>
              <w:jc w:val="center"/>
            </w:pPr>
            <w:r w:rsidRPr="0072453C">
              <w:t>8.21</w:t>
            </w:r>
          </w:p>
        </w:tc>
      </w:tr>
      <w:tr w:rsidR="00F84096" w:rsidRPr="0072453C" w14:paraId="608D892B" w14:textId="77777777" w:rsidTr="00F84096">
        <w:trPr>
          <w:trHeight w:val="112"/>
          <w:jc w:val="center"/>
        </w:trPr>
        <w:tc>
          <w:tcPr>
            <w:tcW w:w="1917" w:type="dxa"/>
            <w:vMerge w:val="restart"/>
          </w:tcPr>
          <w:p w14:paraId="5E657683" w14:textId="77777777" w:rsidR="00F84096" w:rsidRPr="0072453C" w:rsidRDefault="00F84096" w:rsidP="00237799">
            <w:pPr>
              <w:jc w:val="center"/>
            </w:pPr>
            <w:proofErr w:type="gramStart"/>
            <w:r w:rsidRPr="0072453C">
              <w:t>pCO</w:t>
            </w:r>
            <w:r w:rsidRPr="0072453C">
              <w:rPr>
                <w:vertAlign w:val="subscript"/>
              </w:rPr>
              <w:t>2</w:t>
            </w:r>
            <w:proofErr w:type="gramEnd"/>
            <w:r w:rsidRPr="0072453C">
              <w:t xml:space="preserve"> (</w:t>
            </w:r>
            <w:proofErr w:type="spellStart"/>
            <w:r w:rsidRPr="0072453C">
              <w:t>μatm</w:t>
            </w:r>
            <w:proofErr w:type="spellEnd"/>
            <w:r w:rsidRPr="0072453C">
              <w:t>)</w:t>
            </w:r>
          </w:p>
        </w:tc>
        <w:tc>
          <w:tcPr>
            <w:tcW w:w="1749" w:type="dxa"/>
          </w:tcPr>
          <w:p w14:paraId="758073CD" w14:textId="77777777" w:rsidR="00F84096" w:rsidRPr="0072453C" w:rsidRDefault="00F84096" w:rsidP="00237799">
            <w:pPr>
              <w:jc w:val="center"/>
            </w:pPr>
            <w:r w:rsidRPr="0072453C">
              <w:t>Top</w:t>
            </w:r>
          </w:p>
        </w:tc>
        <w:tc>
          <w:tcPr>
            <w:tcW w:w="1737" w:type="dxa"/>
          </w:tcPr>
          <w:p w14:paraId="5BE7751C" w14:textId="77777777" w:rsidR="00F84096" w:rsidRPr="0072453C" w:rsidRDefault="00F84096" w:rsidP="00237799">
            <w:pPr>
              <w:jc w:val="center"/>
            </w:pPr>
            <w:r w:rsidRPr="0072453C">
              <w:t>172</w:t>
            </w:r>
          </w:p>
        </w:tc>
        <w:tc>
          <w:tcPr>
            <w:tcW w:w="1713" w:type="dxa"/>
          </w:tcPr>
          <w:p w14:paraId="598493E7" w14:textId="77777777" w:rsidR="00F84096" w:rsidRPr="0072453C" w:rsidRDefault="00F84096" w:rsidP="00237799">
            <w:pPr>
              <w:jc w:val="center"/>
            </w:pPr>
            <w:r w:rsidRPr="0072453C">
              <w:t>364</w:t>
            </w:r>
          </w:p>
        </w:tc>
        <w:tc>
          <w:tcPr>
            <w:tcW w:w="1740" w:type="dxa"/>
          </w:tcPr>
          <w:p w14:paraId="4E2AF1DD" w14:textId="77777777" w:rsidR="00F84096" w:rsidRPr="0072453C" w:rsidRDefault="00F84096" w:rsidP="00237799">
            <w:pPr>
              <w:jc w:val="center"/>
            </w:pPr>
            <w:r w:rsidRPr="0072453C">
              <w:t>543</w:t>
            </w:r>
          </w:p>
        </w:tc>
      </w:tr>
      <w:tr w:rsidR="00F84096" w:rsidRPr="0072453C" w14:paraId="35CF90B6" w14:textId="77777777" w:rsidTr="00F84096">
        <w:trPr>
          <w:trHeight w:val="112"/>
          <w:jc w:val="center"/>
        </w:trPr>
        <w:tc>
          <w:tcPr>
            <w:tcW w:w="1917" w:type="dxa"/>
            <w:vMerge/>
          </w:tcPr>
          <w:p w14:paraId="30D42751" w14:textId="77777777" w:rsidR="00F84096" w:rsidRPr="0072453C" w:rsidRDefault="00F84096" w:rsidP="00237799">
            <w:pPr>
              <w:jc w:val="center"/>
            </w:pPr>
          </w:p>
        </w:tc>
        <w:tc>
          <w:tcPr>
            <w:tcW w:w="1749" w:type="dxa"/>
          </w:tcPr>
          <w:p w14:paraId="55F50918" w14:textId="77777777" w:rsidR="00F84096" w:rsidRPr="0072453C" w:rsidRDefault="00F84096" w:rsidP="00237799">
            <w:pPr>
              <w:jc w:val="center"/>
            </w:pPr>
            <w:r w:rsidRPr="0072453C">
              <w:t>Bottom</w:t>
            </w:r>
          </w:p>
        </w:tc>
        <w:tc>
          <w:tcPr>
            <w:tcW w:w="1737" w:type="dxa"/>
          </w:tcPr>
          <w:p w14:paraId="346AC02D" w14:textId="77777777" w:rsidR="00F84096" w:rsidRPr="0072453C" w:rsidRDefault="00F84096" w:rsidP="00237799">
            <w:pPr>
              <w:jc w:val="center"/>
            </w:pPr>
            <w:r w:rsidRPr="0072453C">
              <w:t>249</w:t>
            </w:r>
          </w:p>
        </w:tc>
        <w:tc>
          <w:tcPr>
            <w:tcW w:w="1713" w:type="dxa"/>
          </w:tcPr>
          <w:p w14:paraId="7E5B4BBF" w14:textId="77777777" w:rsidR="00F84096" w:rsidRPr="0072453C" w:rsidRDefault="00F84096" w:rsidP="00237799">
            <w:pPr>
              <w:jc w:val="center"/>
            </w:pPr>
            <w:r w:rsidRPr="0072453C">
              <w:t>508</w:t>
            </w:r>
          </w:p>
        </w:tc>
        <w:tc>
          <w:tcPr>
            <w:tcW w:w="1740" w:type="dxa"/>
          </w:tcPr>
          <w:p w14:paraId="0F75D095" w14:textId="77777777" w:rsidR="00F84096" w:rsidRPr="0072453C" w:rsidRDefault="00F84096" w:rsidP="00237799">
            <w:pPr>
              <w:jc w:val="center"/>
            </w:pPr>
            <w:r w:rsidRPr="0072453C">
              <w:t>952</w:t>
            </w:r>
          </w:p>
        </w:tc>
      </w:tr>
      <w:tr w:rsidR="00F84096" w:rsidRPr="0072453C" w14:paraId="27A50874" w14:textId="77777777" w:rsidTr="00F84096">
        <w:trPr>
          <w:trHeight w:val="112"/>
          <w:jc w:val="center"/>
        </w:trPr>
        <w:tc>
          <w:tcPr>
            <w:tcW w:w="1917" w:type="dxa"/>
            <w:vMerge w:val="restart"/>
          </w:tcPr>
          <w:p w14:paraId="76EF72E0" w14:textId="77777777" w:rsidR="00F84096" w:rsidRPr="0072453C" w:rsidRDefault="00F84096" w:rsidP="00237799">
            <w:pPr>
              <w:jc w:val="center"/>
            </w:pPr>
            <w:r w:rsidRPr="0072453C">
              <w:t>Ω</w:t>
            </w:r>
            <w:r w:rsidRPr="0072453C">
              <w:rPr>
                <w:vertAlign w:val="subscript"/>
              </w:rPr>
              <w:t>Ar</w:t>
            </w:r>
          </w:p>
        </w:tc>
        <w:tc>
          <w:tcPr>
            <w:tcW w:w="1749" w:type="dxa"/>
          </w:tcPr>
          <w:p w14:paraId="5B16F6A1" w14:textId="77777777" w:rsidR="00F84096" w:rsidRPr="0072453C" w:rsidRDefault="00F84096" w:rsidP="00237799">
            <w:pPr>
              <w:jc w:val="center"/>
            </w:pPr>
            <w:r w:rsidRPr="0072453C">
              <w:t>Top</w:t>
            </w:r>
          </w:p>
        </w:tc>
        <w:tc>
          <w:tcPr>
            <w:tcW w:w="1737" w:type="dxa"/>
          </w:tcPr>
          <w:p w14:paraId="1B00770D" w14:textId="77777777" w:rsidR="00F84096" w:rsidRPr="0072453C" w:rsidRDefault="00F84096" w:rsidP="00237799">
            <w:pPr>
              <w:jc w:val="center"/>
            </w:pPr>
            <w:r w:rsidRPr="0072453C">
              <w:t>1.63</w:t>
            </w:r>
          </w:p>
        </w:tc>
        <w:tc>
          <w:tcPr>
            <w:tcW w:w="1713" w:type="dxa"/>
          </w:tcPr>
          <w:p w14:paraId="7BE3EB29" w14:textId="77777777" w:rsidR="00F84096" w:rsidRPr="0072453C" w:rsidRDefault="00F84096" w:rsidP="00237799">
            <w:pPr>
              <w:jc w:val="center"/>
            </w:pPr>
            <w:r w:rsidRPr="0072453C">
              <w:t>2.43</w:t>
            </w:r>
          </w:p>
        </w:tc>
        <w:tc>
          <w:tcPr>
            <w:tcW w:w="1740" w:type="dxa"/>
          </w:tcPr>
          <w:p w14:paraId="71C181FF" w14:textId="77777777" w:rsidR="00F84096" w:rsidRPr="0072453C" w:rsidRDefault="00F84096" w:rsidP="00237799">
            <w:pPr>
              <w:jc w:val="center"/>
            </w:pPr>
            <w:r w:rsidRPr="0072453C">
              <w:t>3.91</w:t>
            </w:r>
          </w:p>
        </w:tc>
      </w:tr>
      <w:tr w:rsidR="00F84096" w:rsidRPr="0072453C" w14:paraId="69EFFCCF" w14:textId="77777777" w:rsidTr="00F84096">
        <w:trPr>
          <w:trHeight w:val="112"/>
          <w:jc w:val="center"/>
        </w:trPr>
        <w:tc>
          <w:tcPr>
            <w:tcW w:w="1917" w:type="dxa"/>
            <w:vMerge/>
          </w:tcPr>
          <w:p w14:paraId="01420484" w14:textId="77777777" w:rsidR="00F84096" w:rsidRPr="0072453C" w:rsidRDefault="00F84096" w:rsidP="00237799"/>
        </w:tc>
        <w:tc>
          <w:tcPr>
            <w:tcW w:w="1749" w:type="dxa"/>
          </w:tcPr>
          <w:p w14:paraId="5CB3DC2C" w14:textId="77777777" w:rsidR="00F84096" w:rsidRPr="0072453C" w:rsidRDefault="00F84096" w:rsidP="00237799">
            <w:pPr>
              <w:jc w:val="center"/>
            </w:pPr>
            <w:r w:rsidRPr="0072453C">
              <w:t>Bottom</w:t>
            </w:r>
          </w:p>
        </w:tc>
        <w:tc>
          <w:tcPr>
            <w:tcW w:w="1737" w:type="dxa"/>
          </w:tcPr>
          <w:p w14:paraId="7B1261DE" w14:textId="77777777" w:rsidR="00F84096" w:rsidRPr="0072453C" w:rsidRDefault="00F84096" w:rsidP="00237799">
            <w:pPr>
              <w:jc w:val="center"/>
            </w:pPr>
            <w:r w:rsidRPr="0072453C">
              <w:t>0.94</w:t>
            </w:r>
          </w:p>
        </w:tc>
        <w:tc>
          <w:tcPr>
            <w:tcW w:w="1713" w:type="dxa"/>
          </w:tcPr>
          <w:p w14:paraId="0B417DCF" w14:textId="77777777" w:rsidR="00F84096" w:rsidRPr="0072453C" w:rsidRDefault="00F84096" w:rsidP="00237799">
            <w:pPr>
              <w:jc w:val="center"/>
            </w:pPr>
            <w:r w:rsidRPr="0072453C">
              <w:t>1.82</w:t>
            </w:r>
          </w:p>
        </w:tc>
        <w:tc>
          <w:tcPr>
            <w:tcW w:w="1740" w:type="dxa"/>
          </w:tcPr>
          <w:p w14:paraId="6A8420EC" w14:textId="77777777" w:rsidR="00F84096" w:rsidRPr="0072453C" w:rsidRDefault="00F84096" w:rsidP="00237799">
            <w:pPr>
              <w:jc w:val="center"/>
            </w:pPr>
            <w:r w:rsidRPr="0072453C">
              <w:t>3.23</w:t>
            </w:r>
          </w:p>
        </w:tc>
      </w:tr>
    </w:tbl>
    <w:p w14:paraId="36C293CD" w14:textId="77777777" w:rsidR="00F84096" w:rsidRDefault="00F84096" w:rsidP="00F84096">
      <w:pPr>
        <w:pStyle w:val="Caption"/>
        <w:jc w:val="center"/>
      </w:pPr>
      <w:r w:rsidRPr="001314AA">
        <w:t>Table 2:</w:t>
      </w:r>
      <w:r>
        <w:t xml:space="preserve"> Carbon system variables summary statistics aggregating all six sampling sites</w:t>
      </w:r>
    </w:p>
    <w:p w14:paraId="3170AB46" w14:textId="121F049C" w:rsidR="00237799" w:rsidRDefault="00237799">
      <w:pPr>
        <w:spacing w:line="240" w:lineRule="auto"/>
        <w:jc w:val="left"/>
        <w:rPr>
          <w:rFonts w:cs="Arial"/>
          <w:b/>
          <w:bCs/>
          <w:color w:val="000000"/>
          <w:kern w:val="32"/>
          <w:szCs w:val="32"/>
        </w:rPr>
      </w:pPr>
      <w:r>
        <w:br w:type="page"/>
      </w:r>
    </w:p>
    <w:p w14:paraId="4B00877A" w14:textId="77777777" w:rsidR="000C2974" w:rsidRPr="00C02411" w:rsidRDefault="000C2974" w:rsidP="005D6F9F">
      <w:pPr>
        <w:pStyle w:val="Heading1"/>
      </w:pPr>
    </w:p>
    <w:p w14:paraId="753C6246" w14:textId="77777777" w:rsidR="00DD0EDE" w:rsidRPr="006363E5" w:rsidRDefault="00DD0EDE" w:rsidP="00DD0EDE">
      <w:pPr>
        <w:spacing w:line="480" w:lineRule="auto"/>
      </w:pPr>
    </w:p>
    <w:p w14:paraId="0825BB8C" w14:textId="77777777" w:rsidR="006363E5" w:rsidRDefault="006363E5" w:rsidP="006363E5">
      <w:pPr>
        <w:spacing w:line="480" w:lineRule="auto"/>
      </w:pPr>
    </w:p>
    <w:p w14:paraId="73A6B6EE" w14:textId="77777777" w:rsidR="00F5258E" w:rsidRDefault="00F5258E" w:rsidP="003D5288"/>
    <w:p w14:paraId="5DC4C5AA" w14:textId="77777777" w:rsidR="00F5258E" w:rsidRDefault="003A4FB4" w:rsidP="00AE7A01">
      <w:pPr>
        <w:jc w:val="center"/>
      </w:pPr>
      <w:r>
        <w:rPr>
          <w:noProof/>
          <w:lang w:val="en-US" w:eastAsia="en-US"/>
        </w:rPr>
        <w:drawing>
          <wp:inline distT="0" distB="0" distL="0" distR="0" wp14:anchorId="0B53F099" wp14:editId="71FAF0E0">
            <wp:extent cx="5984875" cy="4230218"/>
            <wp:effectExtent l="0" t="0" r="952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Pub-RGB.png"/>
                    <pic:cNvPicPr/>
                  </pic:nvPicPr>
                  <pic:blipFill>
                    <a:blip r:embed="rId37">
                      <a:extLst>
                        <a:ext uri="{28A0092B-C50C-407E-A947-70E740481C1C}">
                          <a14:useLocalDpi xmlns:a14="http://schemas.microsoft.com/office/drawing/2010/main" val="0"/>
                        </a:ext>
                      </a:extLst>
                    </a:blip>
                    <a:stretch>
                      <a:fillRect/>
                    </a:stretch>
                  </pic:blipFill>
                  <pic:spPr>
                    <a:xfrm>
                      <a:off x="0" y="0"/>
                      <a:ext cx="5986735" cy="4231533"/>
                    </a:xfrm>
                    <a:prstGeom prst="rect">
                      <a:avLst/>
                    </a:prstGeom>
                  </pic:spPr>
                </pic:pic>
              </a:graphicData>
            </a:graphic>
          </wp:inline>
        </w:drawing>
      </w:r>
    </w:p>
    <w:p w14:paraId="60DFF8AD" w14:textId="53EAF940" w:rsidR="003A4FB4" w:rsidRDefault="003A4FB4" w:rsidP="00AE7A01">
      <w:pPr>
        <w:pStyle w:val="Caption"/>
        <w:jc w:val="center"/>
      </w:pPr>
      <w:r>
        <w:t xml:space="preserve">Figure </w:t>
      </w:r>
      <w:fldSimple w:instr=" SEQ Figure \* ARABIC ">
        <w:r w:rsidR="00D8473C">
          <w:rPr>
            <w:noProof/>
          </w:rPr>
          <w:t>1</w:t>
        </w:r>
      </w:fldSimple>
      <w:r>
        <w:t xml:space="preserve">: </w:t>
      </w:r>
      <w:r w:rsidR="00AE7A01">
        <w:t>Study site: kelp forest offshore of Hopkins Marine Station. Green shows historical average kelp canopy extent. Site names are as follows: Protected Offshore (Pro Off; black), Protected Middle (Pro Mid; red), Protected Inside (Pro Inn; magenta), Kelp Forest Array (KFA; yellow), Exposed Offshore (</w:t>
      </w:r>
      <w:proofErr w:type="spellStart"/>
      <w:r w:rsidR="00AE7A01">
        <w:t>Exp</w:t>
      </w:r>
      <w:proofErr w:type="spellEnd"/>
      <w:r w:rsidR="00AE7A01">
        <w:t xml:space="preserve"> Off; blue), and Exposed Middle (</w:t>
      </w:r>
      <w:proofErr w:type="spellStart"/>
      <w:r w:rsidR="00AE7A01">
        <w:t>Exp</w:t>
      </w:r>
      <w:proofErr w:type="spellEnd"/>
      <w:r w:rsidR="00AE7A01">
        <w:t xml:space="preserve"> Mid; cyan). Inset shows </w:t>
      </w:r>
      <w:r w:rsidR="004E2092">
        <w:t xml:space="preserve">Monterey Bay with </w:t>
      </w:r>
      <w:proofErr w:type="spellStart"/>
      <w:r w:rsidR="004E2092">
        <w:t>color</w:t>
      </w:r>
      <w:proofErr w:type="spellEnd"/>
      <w:r w:rsidR="00AE7A01">
        <w:t xml:space="preserve"> dots corresponding to the data buoys shown in Fig. S1.</w:t>
      </w:r>
    </w:p>
    <w:p w14:paraId="741FCAC0" w14:textId="3A593E35" w:rsidR="004E2092" w:rsidRDefault="004E2092">
      <w:pPr>
        <w:spacing w:line="240" w:lineRule="auto"/>
        <w:jc w:val="left"/>
      </w:pPr>
      <w:r>
        <w:br w:type="page"/>
      </w:r>
    </w:p>
    <w:p w14:paraId="0CB45691" w14:textId="77777777" w:rsidR="004E2092" w:rsidRDefault="004E2092" w:rsidP="004E2092"/>
    <w:p w14:paraId="4ACCA5A9" w14:textId="59ABAF0B" w:rsidR="004E2092" w:rsidRDefault="003E1B84" w:rsidP="004E2092">
      <w:pPr>
        <w:jc w:val="center"/>
      </w:pPr>
      <w:r>
        <w:rPr>
          <w:noProof/>
          <w:lang w:val="en-US" w:eastAsia="en-US"/>
        </w:rPr>
        <w:drawing>
          <wp:inline distT="0" distB="0" distL="0" distR="0" wp14:anchorId="2A6731EF" wp14:editId="3A2A3EE8">
            <wp:extent cx="4682229" cy="65280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eps"/>
                    <pic:cNvPicPr/>
                  </pic:nvPicPr>
                  <pic:blipFill>
                    <a:blip r:embed="rId38">
                      <a:extLst>
                        <a:ext uri="{28A0092B-C50C-407E-A947-70E740481C1C}">
                          <a14:useLocalDpi xmlns:a14="http://schemas.microsoft.com/office/drawing/2010/main" val="0"/>
                        </a:ext>
                      </a:extLst>
                    </a:blip>
                    <a:stretch>
                      <a:fillRect/>
                    </a:stretch>
                  </pic:blipFill>
                  <pic:spPr>
                    <a:xfrm>
                      <a:off x="0" y="0"/>
                      <a:ext cx="4683617" cy="6529947"/>
                    </a:xfrm>
                    <a:prstGeom prst="rect">
                      <a:avLst/>
                    </a:prstGeom>
                  </pic:spPr>
                </pic:pic>
              </a:graphicData>
            </a:graphic>
          </wp:inline>
        </w:drawing>
      </w:r>
    </w:p>
    <w:p w14:paraId="3F1F8A54" w14:textId="2CF53A33" w:rsidR="004E2092" w:rsidRDefault="004E2092" w:rsidP="004E2092">
      <w:pPr>
        <w:pStyle w:val="Caption"/>
        <w:jc w:val="center"/>
      </w:pPr>
      <w:r>
        <w:t xml:space="preserve">Figure </w:t>
      </w:r>
      <w:fldSimple w:instr=" SEQ Figure \* ARABIC ">
        <w:r w:rsidR="00D8473C">
          <w:rPr>
            <w:noProof/>
          </w:rPr>
          <w:t>2</w:t>
        </w:r>
      </w:fldSimple>
      <w:r>
        <w:t>: Time series of a) satellite-derived kelp canopy biomass per 30m x 30m satellite pixel for the protected and exposed sides, and b)</w:t>
      </w:r>
      <w:r w:rsidR="0021306A" w:rsidRPr="0021306A">
        <w:rPr>
          <w:position w:val="-10"/>
        </w:rPr>
        <w:t xml:space="preserve"> </w:t>
      </w:r>
      <w:r w:rsidR="0021306A" w:rsidRPr="00F47660">
        <w:rPr>
          <w:position w:val="-10"/>
        </w:rPr>
        <w:object w:dxaOrig="360" w:dyaOrig="320" w14:anchorId="5AD34F5C">
          <v:shape id="_x0000_i1080" type="#_x0000_t75" style="width:18pt;height:16pt" o:ole="">
            <v:imagedata r:id="rId39" o:title=""/>
          </v:shape>
          <o:OLEObject Type="Embed" ProgID="Equation.DSMT4" ShapeID="_x0000_i1080" DrawAspect="Content" ObjectID="_1417271583" r:id="rId40"/>
        </w:object>
      </w:r>
      <w:bookmarkStart w:id="0" w:name="_GoBack"/>
      <w:bookmarkEnd w:id="0"/>
      <w:r>
        <w:t xml:space="preserve"> for all six sites.</w:t>
      </w:r>
      <w:r w:rsidR="00BC2A7D">
        <w:t xml:space="preserve"> The shaded bars on a) show the 95% confidence interval of the kelp canopy biomass estimate.</w:t>
      </w:r>
    </w:p>
    <w:p w14:paraId="3D8179E3" w14:textId="799AC3A5" w:rsidR="004E2092" w:rsidRDefault="004E2092">
      <w:pPr>
        <w:spacing w:line="240" w:lineRule="auto"/>
        <w:jc w:val="left"/>
      </w:pPr>
    </w:p>
    <w:p w14:paraId="0C92E7D8" w14:textId="3A468CF8" w:rsidR="004E2092" w:rsidRPr="004E2092" w:rsidRDefault="004E2092" w:rsidP="004E2092">
      <w:pPr>
        <w:jc w:val="center"/>
      </w:pPr>
      <w:r>
        <w:rPr>
          <w:noProof/>
          <w:lang w:val="en-US" w:eastAsia="en-US"/>
        </w:rPr>
        <w:lastRenderedPageBreak/>
        <w:drawing>
          <wp:inline distT="0" distB="0" distL="0" distR="0" wp14:anchorId="3F9AD9B7" wp14:editId="4417055B">
            <wp:extent cx="6371867" cy="47599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41">
                      <a:extLst>
                        <a:ext uri="{28A0092B-C50C-407E-A947-70E740481C1C}">
                          <a14:useLocalDpi xmlns:a14="http://schemas.microsoft.com/office/drawing/2010/main" val="0"/>
                        </a:ext>
                      </a:extLst>
                    </a:blip>
                    <a:stretch>
                      <a:fillRect/>
                    </a:stretch>
                  </pic:blipFill>
                  <pic:spPr>
                    <a:xfrm>
                      <a:off x="0" y="0"/>
                      <a:ext cx="6371867" cy="4759960"/>
                    </a:xfrm>
                    <a:prstGeom prst="rect">
                      <a:avLst/>
                    </a:prstGeom>
                  </pic:spPr>
                </pic:pic>
              </a:graphicData>
            </a:graphic>
          </wp:inline>
        </w:drawing>
      </w:r>
    </w:p>
    <w:p w14:paraId="661CC39F" w14:textId="33B90365" w:rsidR="004E2092" w:rsidRDefault="004E2092" w:rsidP="004E2092">
      <w:pPr>
        <w:pStyle w:val="Caption"/>
        <w:jc w:val="center"/>
      </w:pPr>
      <w:r>
        <w:t xml:space="preserve">Figure </w:t>
      </w:r>
      <w:fldSimple w:instr=" SEQ Figure \* ARABIC ">
        <w:r w:rsidR="00D8473C">
          <w:rPr>
            <w:noProof/>
          </w:rPr>
          <w:t>3</w:t>
        </w:r>
      </w:fldSimple>
      <w:r>
        <w:t>: Depth-resolved temperature profiles along the protected transect throughout the 14-month time series. White spaces, including October 2013 and August 2014, are missing data due to the CTD not recording or poor data removed during quality control.</w:t>
      </w:r>
    </w:p>
    <w:p w14:paraId="55210652" w14:textId="672941ED" w:rsidR="004E2092" w:rsidRDefault="004E2092">
      <w:pPr>
        <w:spacing w:line="240" w:lineRule="auto"/>
        <w:jc w:val="left"/>
      </w:pPr>
      <w:r>
        <w:br w:type="page"/>
      </w:r>
    </w:p>
    <w:p w14:paraId="34D3098C" w14:textId="71381748" w:rsidR="004E2092" w:rsidRPr="004E2092" w:rsidRDefault="00484343" w:rsidP="00484343">
      <w:pPr>
        <w:jc w:val="center"/>
      </w:pPr>
      <w:r>
        <w:rPr>
          <w:noProof/>
          <w:lang w:val="en-US" w:eastAsia="en-US"/>
        </w:rPr>
        <w:lastRenderedPageBreak/>
        <w:drawing>
          <wp:inline distT="0" distB="0" distL="0" distR="0" wp14:anchorId="0FE22789" wp14:editId="47402101">
            <wp:extent cx="6372225" cy="4842891"/>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eps"/>
                    <pic:cNvPicPr/>
                  </pic:nvPicPr>
                  <pic:blipFill>
                    <a:blip r:embed="rId42">
                      <a:extLst>
                        <a:ext uri="{28A0092B-C50C-407E-A947-70E740481C1C}">
                          <a14:useLocalDpi xmlns:a14="http://schemas.microsoft.com/office/drawing/2010/main" val="0"/>
                        </a:ext>
                      </a:extLst>
                    </a:blip>
                    <a:stretch>
                      <a:fillRect/>
                    </a:stretch>
                  </pic:blipFill>
                  <pic:spPr>
                    <a:xfrm>
                      <a:off x="0" y="0"/>
                      <a:ext cx="6372225" cy="4842891"/>
                    </a:xfrm>
                    <a:prstGeom prst="rect">
                      <a:avLst/>
                    </a:prstGeom>
                  </pic:spPr>
                </pic:pic>
              </a:graphicData>
            </a:graphic>
          </wp:inline>
        </w:drawing>
      </w:r>
    </w:p>
    <w:p w14:paraId="6C5937BC" w14:textId="2DDB7819" w:rsidR="00484343" w:rsidRDefault="00484343" w:rsidP="00484343">
      <w:pPr>
        <w:pStyle w:val="Caption"/>
        <w:jc w:val="center"/>
      </w:pPr>
      <w:r>
        <w:t xml:space="preserve">Figure </w:t>
      </w:r>
      <w:fldSimple w:instr=" SEQ Figure \* ARABIC ">
        <w:r w:rsidR="00D8473C">
          <w:rPr>
            <w:noProof/>
          </w:rPr>
          <w:t>4</w:t>
        </w:r>
      </w:fldSimple>
      <w:r>
        <w:t>: Time series of a) DIC and b) TA. Solid lines are bottom samples and dashed lines are surface samples.</w:t>
      </w:r>
    </w:p>
    <w:p w14:paraId="579B1652" w14:textId="73B42D50" w:rsidR="00484343" w:rsidRDefault="00484343">
      <w:pPr>
        <w:spacing w:line="240" w:lineRule="auto"/>
        <w:jc w:val="left"/>
      </w:pPr>
      <w:r>
        <w:br w:type="page"/>
      </w:r>
    </w:p>
    <w:p w14:paraId="623B5AFC" w14:textId="55F1846E" w:rsidR="00484343" w:rsidRPr="00484343" w:rsidRDefault="001B2528" w:rsidP="00484343">
      <w:pPr>
        <w:jc w:val="center"/>
      </w:pPr>
      <w:r>
        <w:rPr>
          <w:noProof/>
          <w:lang w:val="en-US" w:eastAsia="en-US"/>
        </w:rPr>
        <w:lastRenderedPageBreak/>
        <w:drawing>
          <wp:inline distT="0" distB="0" distL="0" distR="0" wp14:anchorId="2D724B73" wp14:editId="7A572AEF">
            <wp:extent cx="6371917" cy="486219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eps"/>
                    <pic:cNvPicPr/>
                  </pic:nvPicPr>
                  <pic:blipFill>
                    <a:blip r:embed="rId43">
                      <a:extLst>
                        <a:ext uri="{28A0092B-C50C-407E-A947-70E740481C1C}">
                          <a14:useLocalDpi xmlns:a14="http://schemas.microsoft.com/office/drawing/2010/main" val="0"/>
                        </a:ext>
                      </a:extLst>
                    </a:blip>
                    <a:stretch>
                      <a:fillRect/>
                    </a:stretch>
                  </pic:blipFill>
                  <pic:spPr>
                    <a:xfrm>
                      <a:off x="0" y="0"/>
                      <a:ext cx="6371917" cy="4862195"/>
                    </a:xfrm>
                    <a:prstGeom prst="rect">
                      <a:avLst/>
                    </a:prstGeom>
                  </pic:spPr>
                </pic:pic>
              </a:graphicData>
            </a:graphic>
          </wp:inline>
        </w:drawing>
      </w:r>
    </w:p>
    <w:p w14:paraId="1BC92472" w14:textId="0AFD2E0D" w:rsidR="001B2528" w:rsidRDefault="001B2528" w:rsidP="001B2528">
      <w:pPr>
        <w:pStyle w:val="Caption"/>
        <w:jc w:val="center"/>
      </w:pPr>
      <w:r>
        <w:t xml:space="preserve">Figure </w:t>
      </w:r>
      <w:fldSimple w:instr=" SEQ Figure \* ARABIC ">
        <w:r w:rsidR="00D8473C">
          <w:rPr>
            <w:noProof/>
          </w:rPr>
          <w:t>5</w:t>
        </w:r>
      </w:fldSimple>
      <w:r>
        <w:t>: Time series of a) pH, b) pCO</w:t>
      </w:r>
      <w:r w:rsidRPr="006A5AD0">
        <w:rPr>
          <w:vertAlign w:val="subscript"/>
        </w:rPr>
        <w:t>2</w:t>
      </w:r>
      <w:r>
        <w:t>, and c) Ω</w:t>
      </w:r>
      <w:r w:rsidRPr="001370B2">
        <w:rPr>
          <w:vertAlign w:val="subscript"/>
        </w:rPr>
        <w:t>Ar</w:t>
      </w:r>
      <w:r>
        <w:t xml:space="preserve"> calculated from TA and DIC measurements. Solid lines are bottom samples and dashed lines are surface samples.</w:t>
      </w:r>
    </w:p>
    <w:p w14:paraId="2DDC4D5D" w14:textId="3885D886" w:rsidR="001B2528" w:rsidRDefault="001B2528">
      <w:pPr>
        <w:spacing w:line="240" w:lineRule="auto"/>
        <w:jc w:val="left"/>
      </w:pPr>
      <w:r>
        <w:br w:type="page"/>
      </w:r>
    </w:p>
    <w:p w14:paraId="01D06626" w14:textId="77777777" w:rsidR="001B2528" w:rsidRPr="001B2528" w:rsidRDefault="001B2528" w:rsidP="001B2528"/>
    <w:p w14:paraId="0EE9EC6B" w14:textId="0D002ADA" w:rsidR="004E2092" w:rsidRDefault="001B2528" w:rsidP="004E2092">
      <w:pPr>
        <w:jc w:val="center"/>
      </w:pPr>
      <w:r>
        <w:rPr>
          <w:noProof/>
          <w:lang w:val="en-US" w:eastAsia="en-US"/>
        </w:rPr>
        <w:drawing>
          <wp:inline distT="0" distB="0" distL="0" distR="0" wp14:anchorId="5A78AA30" wp14:editId="42242C83">
            <wp:extent cx="6371898" cy="4773295"/>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eps"/>
                    <pic:cNvPicPr/>
                  </pic:nvPicPr>
                  <pic:blipFill>
                    <a:blip r:embed="rId44">
                      <a:extLst>
                        <a:ext uri="{28A0092B-C50C-407E-A947-70E740481C1C}">
                          <a14:useLocalDpi xmlns:a14="http://schemas.microsoft.com/office/drawing/2010/main" val="0"/>
                        </a:ext>
                      </a:extLst>
                    </a:blip>
                    <a:stretch>
                      <a:fillRect/>
                    </a:stretch>
                  </pic:blipFill>
                  <pic:spPr>
                    <a:xfrm>
                      <a:off x="0" y="0"/>
                      <a:ext cx="6371898" cy="4773295"/>
                    </a:xfrm>
                    <a:prstGeom prst="rect">
                      <a:avLst/>
                    </a:prstGeom>
                  </pic:spPr>
                </pic:pic>
              </a:graphicData>
            </a:graphic>
          </wp:inline>
        </w:drawing>
      </w:r>
    </w:p>
    <w:p w14:paraId="5ABF86FB" w14:textId="250CE29D" w:rsidR="001B2528" w:rsidRDefault="001B2528" w:rsidP="00FE0EF2">
      <w:pPr>
        <w:pStyle w:val="Caption"/>
        <w:jc w:val="center"/>
      </w:pPr>
      <w:r>
        <w:t xml:space="preserve">Figure </w:t>
      </w:r>
      <w:fldSimple w:instr=" SEQ Figure \* ARABIC ">
        <w:r w:rsidR="00D8473C">
          <w:rPr>
            <w:noProof/>
          </w:rPr>
          <w:t>6</w:t>
        </w:r>
      </w:fldSimple>
      <w:r>
        <w:t xml:space="preserve">: </w:t>
      </w:r>
      <w:r w:rsidR="00FE0EF2">
        <w:t>Variability throughout the sampling period for a) DIC and b) TA. The range of surface values across all six sites is shown in red and the range of bottom values across all six sites is shown in yellow. The blue line is the median surface-to-bottom difference in DIC or TA during a given sampling day and the blue shaded region represents the maximum and minimum vertical gradients observed on each day. Note the differences in scale between a) and b).</w:t>
      </w:r>
    </w:p>
    <w:p w14:paraId="76D17E38" w14:textId="784AA2C0" w:rsidR="00FE0EF2" w:rsidRDefault="00FE0EF2">
      <w:pPr>
        <w:spacing w:line="240" w:lineRule="auto"/>
        <w:jc w:val="left"/>
      </w:pPr>
      <w:r>
        <w:br w:type="page"/>
      </w:r>
    </w:p>
    <w:p w14:paraId="62529144" w14:textId="7E220BC7" w:rsidR="00FE0EF2" w:rsidRDefault="00FE0EF2" w:rsidP="00FE0EF2">
      <w:pPr>
        <w:jc w:val="center"/>
      </w:pPr>
      <w:r>
        <w:rPr>
          <w:noProof/>
          <w:lang w:val="en-US" w:eastAsia="en-US"/>
        </w:rPr>
        <w:lastRenderedPageBreak/>
        <w:drawing>
          <wp:inline distT="0" distB="0" distL="0" distR="0" wp14:anchorId="7B2AD384" wp14:editId="0118C7C7">
            <wp:extent cx="6277128" cy="3144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eps"/>
                    <pic:cNvPicPr/>
                  </pic:nvPicPr>
                  <pic:blipFill>
                    <a:blip r:embed="rId45">
                      <a:extLst>
                        <a:ext uri="{28A0092B-C50C-407E-A947-70E740481C1C}">
                          <a14:useLocalDpi xmlns:a14="http://schemas.microsoft.com/office/drawing/2010/main" val="0"/>
                        </a:ext>
                      </a:extLst>
                    </a:blip>
                    <a:stretch>
                      <a:fillRect/>
                    </a:stretch>
                  </pic:blipFill>
                  <pic:spPr>
                    <a:xfrm>
                      <a:off x="0" y="0"/>
                      <a:ext cx="6277128" cy="3144520"/>
                    </a:xfrm>
                    <a:prstGeom prst="rect">
                      <a:avLst/>
                    </a:prstGeom>
                  </pic:spPr>
                </pic:pic>
              </a:graphicData>
            </a:graphic>
          </wp:inline>
        </w:drawing>
      </w:r>
    </w:p>
    <w:p w14:paraId="67C931A3" w14:textId="768EB034" w:rsidR="00FE0EF2" w:rsidRDefault="00FE0EF2" w:rsidP="00FE0EF2">
      <w:pPr>
        <w:pStyle w:val="Caption"/>
        <w:jc w:val="center"/>
      </w:pPr>
      <w:r>
        <w:t xml:space="preserve">Figure </w:t>
      </w:r>
      <w:fldSimple w:instr=" SEQ Figure \* ARABIC ">
        <w:r w:rsidR="00D8473C">
          <w:rPr>
            <w:noProof/>
          </w:rPr>
          <w:t>7</w:t>
        </w:r>
      </w:fldSimple>
      <w:r>
        <w:t>: Observed (black) surface-to-bottom differences in a) pH, b) pCO</w:t>
      </w:r>
      <w:r w:rsidRPr="00674027">
        <w:rPr>
          <w:vertAlign w:val="subscript"/>
        </w:rPr>
        <w:t>2</w:t>
      </w:r>
      <w:r>
        <w:t xml:space="preserve">, and c) </w:t>
      </w:r>
      <w:r w:rsidRPr="00FC5594">
        <w:t>Ω</w:t>
      </w:r>
      <w:r>
        <w:rPr>
          <w:vertAlign w:val="subscript"/>
        </w:rPr>
        <w:t>A</w:t>
      </w:r>
      <w:r w:rsidRPr="00FC5594">
        <w:rPr>
          <w:vertAlign w:val="subscript"/>
        </w:rPr>
        <w:t>r</w:t>
      </w:r>
      <w:r>
        <w:rPr>
          <w:vertAlign w:val="subscript"/>
        </w:rPr>
        <w:t xml:space="preserve"> </w:t>
      </w:r>
      <w:r>
        <w:t>at the Protected Offshore site along with the calculated contributions of temperature (red), salinity (magenta), DIC (blue), and TA (yellow) to the observed carbon system gradients. The residual difference between the observed and calculated contributions is shown in cyan.</w:t>
      </w:r>
    </w:p>
    <w:p w14:paraId="5B0AC535" w14:textId="0532A148" w:rsidR="00FE0EF2" w:rsidRDefault="00FE0EF2">
      <w:pPr>
        <w:spacing w:line="240" w:lineRule="auto"/>
        <w:jc w:val="left"/>
      </w:pPr>
      <w:r>
        <w:br w:type="page"/>
      </w:r>
    </w:p>
    <w:p w14:paraId="0261F218" w14:textId="217010A6" w:rsidR="00FE0EF2" w:rsidRDefault="00FE0EF2" w:rsidP="00FE0EF2">
      <w:pPr>
        <w:jc w:val="center"/>
      </w:pPr>
      <w:r>
        <w:rPr>
          <w:noProof/>
          <w:lang w:val="en-US" w:eastAsia="en-US"/>
        </w:rPr>
        <w:lastRenderedPageBreak/>
        <w:drawing>
          <wp:inline distT="0" distB="0" distL="0" distR="0" wp14:anchorId="633B7D33" wp14:editId="24DC216A">
            <wp:extent cx="4341624" cy="6625378"/>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eps"/>
                    <pic:cNvPicPr/>
                  </pic:nvPicPr>
                  <pic:blipFill>
                    <a:blip r:embed="rId46">
                      <a:extLst>
                        <a:ext uri="{28A0092B-C50C-407E-A947-70E740481C1C}">
                          <a14:useLocalDpi xmlns:a14="http://schemas.microsoft.com/office/drawing/2010/main" val="0"/>
                        </a:ext>
                      </a:extLst>
                    </a:blip>
                    <a:stretch>
                      <a:fillRect/>
                    </a:stretch>
                  </pic:blipFill>
                  <pic:spPr>
                    <a:xfrm>
                      <a:off x="0" y="0"/>
                      <a:ext cx="4343328" cy="6627978"/>
                    </a:xfrm>
                    <a:prstGeom prst="rect">
                      <a:avLst/>
                    </a:prstGeom>
                  </pic:spPr>
                </pic:pic>
              </a:graphicData>
            </a:graphic>
          </wp:inline>
        </w:drawing>
      </w:r>
    </w:p>
    <w:p w14:paraId="7DFBA44D" w14:textId="58356E5D" w:rsidR="00FE0EF2" w:rsidRDefault="00FE0EF2" w:rsidP="00FE0EF2">
      <w:pPr>
        <w:pStyle w:val="Caption"/>
        <w:jc w:val="center"/>
      </w:pPr>
      <w:r>
        <w:t xml:space="preserve">Figure </w:t>
      </w:r>
      <w:fldSimple w:instr=" SEQ Figure \* ARABIC ">
        <w:r w:rsidR="00D8473C">
          <w:rPr>
            <w:noProof/>
          </w:rPr>
          <w:t>8</w:t>
        </w:r>
      </w:fldSimple>
      <w:r>
        <w:t>: a) Bottom DIC-bottom temperature relationships for all six sites and b) bottom-to-surface DIC gradients as a function of bottom DIC concentrations.</w:t>
      </w:r>
    </w:p>
    <w:p w14:paraId="2BFAAFC2" w14:textId="4B356D8F" w:rsidR="008202DA" w:rsidRDefault="008202DA">
      <w:pPr>
        <w:spacing w:line="240" w:lineRule="auto"/>
        <w:jc w:val="left"/>
      </w:pPr>
      <w:r>
        <w:br w:type="page"/>
      </w:r>
    </w:p>
    <w:p w14:paraId="5BB8D6BF" w14:textId="47CCC020" w:rsidR="008202DA" w:rsidRDefault="008202DA" w:rsidP="008202DA">
      <w:pPr>
        <w:jc w:val="center"/>
      </w:pPr>
      <w:r>
        <w:rPr>
          <w:noProof/>
          <w:lang w:val="en-US" w:eastAsia="en-US"/>
        </w:rPr>
        <w:lastRenderedPageBreak/>
        <w:drawing>
          <wp:inline distT="0" distB="0" distL="0" distR="0" wp14:anchorId="14F37461" wp14:editId="57963164">
            <wp:extent cx="4645448" cy="656005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eps"/>
                    <pic:cNvPicPr/>
                  </pic:nvPicPr>
                  <pic:blipFill>
                    <a:blip r:embed="rId47">
                      <a:extLst>
                        <a:ext uri="{28A0092B-C50C-407E-A947-70E740481C1C}">
                          <a14:useLocalDpi xmlns:a14="http://schemas.microsoft.com/office/drawing/2010/main" val="0"/>
                        </a:ext>
                      </a:extLst>
                    </a:blip>
                    <a:stretch>
                      <a:fillRect/>
                    </a:stretch>
                  </pic:blipFill>
                  <pic:spPr>
                    <a:xfrm>
                      <a:off x="0" y="0"/>
                      <a:ext cx="4646400" cy="6561403"/>
                    </a:xfrm>
                    <a:prstGeom prst="rect">
                      <a:avLst/>
                    </a:prstGeom>
                  </pic:spPr>
                </pic:pic>
              </a:graphicData>
            </a:graphic>
          </wp:inline>
        </w:drawing>
      </w:r>
    </w:p>
    <w:p w14:paraId="465A0DDE" w14:textId="1323A82E" w:rsidR="008202DA" w:rsidRDefault="008202DA" w:rsidP="008202DA">
      <w:pPr>
        <w:pStyle w:val="Caption"/>
        <w:jc w:val="center"/>
      </w:pPr>
      <w:r>
        <w:t xml:space="preserve">Figure </w:t>
      </w:r>
      <w:fldSimple w:instr=" SEQ Figure \* ARABIC ">
        <w:r w:rsidR="00D8473C">
          <w:rPr>
            <w:noProof/>
          </w:rPr>
          <w:t>9</w:t>
        </w:r>
      </w:fldSimple>
      <w:r>
        <w:t xml:space="preserve">: a) </w:t>
      </w:r>
      <w:r w:rsidR="00BC2A7D">
        <w:t xml:space="preserve">Results of site-to-site bottom </w:t>
      </w:r>
      <w:r w:rsidR="00BC2A7D" w:rsidRPr="00FC5594">
        <w:t>Ω</w:t>
      </w:r>
      <w:r w:rsidR="00BC2A7D">
        <w:rPr>
          <w:vertAlign w:val="subscript"/>
        </w:rPr>
        <w:t>A</w:t>
      </w:r>
      <w:r w:rsidR="00BC2A7D" w:rsidRPr="00FC5594">
        <w:rPr>
          <w:vertAlign w:val="subscript"/>
        </w:rPr>
        <w:t>r</w:t>
      </w:r>
      <w:r w:rsidR="00BC2A7D">
        <w:t xml:space="preserve"> Wilcoxon rank sum test. Abbreviations on the sides refer to the six sites. </w:t>
      </w:r>
      <w:proofErr w:type="spellStart"/>
      <w:r w:rsidR="00BC2A7D">
        <w:t>Colored</w:t>
      </w:r>
      <w:proofErr w:type="spellEnd"/>
      <w:r w:rsidR="00BC2A7D">
        <w:t xml:space="preserve"> patches indicate significantly different (p&lt;0.05) bottom </w:t>
      </w:r>
      <w:proofErr w:type="spellStart"/>
      <w:r w:rsidR="00BC2A7D" w:rsidRPr="00FC5594">
        <w:t>Ω</w:t>
      </w:r>
      <w:r w:rsidR="00BC2A7D" w:rsidRPr="00FC5594">
        <w:rPr>
          <w:vertAlign w:val="subscript"/>
        </w:rPr>
        <w:t>ar</w:t>
      </w:r>
      <w:proofErr w:type="spellEnd"/>
      <w:r w:rsidR="00BC2A7D">
        <w:t xml:space="preserve"> between the two sites. b) </w:t>
      </w:r>
      <w:r>
        <w:t xml:space="preserve">Histogram of bottom </w:t>
      </w:r>
      <w:r w:rsidRPr="00FC5594">
        <w:t>Ω</w:t>
      </w:r>
      <w:r>
        <w:rPr>
          <w:vertAlign w:val="subscript"/>
        </w:rPr>
        <w:t>A</w:t>
      </w:r>
      <w:r w:rsidRPr="00FC5594">
        <w:rPr>
          <w:vertAlign w:val="subscript"/>
        </w:rPr>
        <w:t>r</w:t>
      </w:r>
      <w:r>
        <w:t xml:space="preserve"> values </w:t>
      </w:r>
      <w:r w:rsidR="00BC2A7D">
        <w:t>grouping Protected Middle and Inside (red) against the four deeper sites (black). Histogram excludes measurements from</w:t>
      </w:r>
      <w:r>
        <w:t xml:space="preserve"> July and August 2013, when samples were not all collected on same day</w:t>
      </w:r>
      <w:r w:rsidR="00BC2A7D">
        <w:t>.</w:t>
      </w:r>
    </w:p>
    <w:p w14:paraId="16658D43" w14:textId="5088D847" w:rsidR="008202DA" w:rsidRDefault="008202DA">
      <w:pPr>
        <w:spacing w:line="240" w:lineRule="auto"/>
        <w:jc w:val="left"/>
      </w:pPr>
      <w:r>
        <w:br w:type="page"/>
      </w:r>
    </w:p>
    <w:p w14:paraId="2CDDF555" w14:textId="2DEAA473" w:rsidR="008202DA" w:rsidRDefault="008202DA" w:rsidP="008202DA">
      <w:pPr>
        <w:jc w:val="center"/>
      </w:pPr>
      <w:r>
        <w:rPr>
          <w:noProof/>
          <w:lang w:val="en-US" w:eastAsia="en-US"/>
        </w:rPr>
        <w:lastRenderedPageBreak/>
        <w:drawing>
          <wp:inline distT="0" distB="0" distL="0" distR="0" wp14:anchorId="1DB39E01" wp14:editId="7D386C41">
            <wp:extent cx="6372225" cy="4662805"/>
            <wp:effectExtent l="0" t="0" r="317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ng"/>
                    <pic:cNvPicPr/>
                  </pic:nvPicPr>
                  <pic:blipFill>
                    <a:blip r:embed="rId48">
                      <a:extLst>
                        <a:ext uri="{28A0092B-C50C-407E-A947-70E740481C1C}">
                          <a14:useLocalDpi xmlns:a14="http://schemas.microsoft.com/office/drawing/2010/main" val="0"/>
                        </a:ext>
                      </a:extLst>
                    </a:blip>
                    <a:stretch>
                      <a:fillRect/>
                    </a:stretch>
                  </pic:blipFill>
                  <pic:spPr>
                    <a:xfrm>
                      <a:off x="0" y="0"/>
                      <a:ext cx="6372225" cy="4662805"/>
                    </a:xfrm>
                    <a:prstGeom prst="rect">
                      <a:avLst/>
                    </a:prstGeom>
                  </pic:spPr>
                </pic:pic>
              </a:graphicData>
            </a:graphic>
          </wp:inline>
        </w:drawing>
      </w:r>
    </w:p>
    <w:p w14:paraId="789DF47E" w14:textId="1F516B86" w:rsidR="008202DA" w:rsidRDefault="008202DA" w:rsidP="008202DA">
      <w:pPr>
        <w:pStyle w:val="Caption"/>
        <w:jc w:val="center"/>
      </w:pPr>
      <w:r>
        <w:t xml:space="preserve">Figure </w:t>
      </w:r>
      <w:fldSimple w:instr=" SEQ Figure \* ARABIC ">
        <w:r w:rsidR="00D8473C">
          <w:rPr>
            <w:noProof/>
          </w:rPr>
          <w:t>10</w:t>
        </w:r>
      </w:fldSimple>
      <w:r>
        <w:t xml:space="preserve">: Correlation heat maps of </w:t>
      </w:r>
      <w:r w:rsidRPr="00FC5594">
        <w:t>Ω</w:t>
      </w:r>
      <w:r>
        <w:rPr>
          <w:vertAlign w:val="subscript"/>
        </w:rPr>
        <w:t>A</w:t>
      </w:r>
      <w:r w:rsidRPr="00FC5594">
        <w:rPr>
          <w:vertAlign w:val="subscript"/>
        </w:rPr>
        <w:t>r</w:t>
      </w:r>
      <w:r>
        <w:t xml:space="preserve"> for the full year. Top panel shows correlations between surface sites and the bottom panels shows correlations between bottom sites. Site names are abbreviated on both panels and correspond to the order presented in the legend of Figure 9a. Blank spaces show statistically insignificant (p&gt;0.05) correlations.</w:t>
      </w:r>
    </w:p>
    <w:p w14:paraId="2871F7C5" w14:textId="1B51F948" w:rsidR="00FB6D5F" w:rsidRDefault="00FB6D5F">
      <w:pPr>
        <w:spacing w:line="240" w:lineRule="auto"/>
        <w:jc w:val="left"/>
      </w:pPr>
      <w:r>
        <w:br w:type="page"/>
      </w:r>
    </w:p>
    <w:p w14:paraId="32D4EF7C" w14:textId="1398D90B" w:rsidR="00FB6D5F" w:rsidRDefault="006B5EAE" w:rsidP="00FB6D5F">
      <w:pPr>
        <w:jc w:val="center"/>
        <w:rPr>
          <w:noProof/>
          <w:lang w:val="en-US" w:eastAsia="en-US"/>
        </w:rPr>
      </w:pPr>
      <w:r>
        <w:rPr>
          <w:noProof/>
          <w:lang w:val="en-US" w:eastAsia="en-US"/>
        </w:rPr>
        <w:lastRenderedPageBreak/>
        <w:drawing>
          <wp:inline distT="0" distB="0" distL="0" distR="0" wp14:anchorId="69CB3417" wp14:editId="0E0210A3">
            <wp:extent cx="6372013" cy="477901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eps"/>
                    <pic:cNvPicPr/>
                  </pic:nvPicPr>
                  <pic:blipFill>
                    <a:blip r:embed="rId49">
                      <a:extLst>
                        <a:ext uri="{28A0092B-C50C-407E-A947-70E740481C1C}">
                          <a14:useLocalDpi xmlns:a14="http://schemas.microsoft.com/office/drawing/2010/main" val="0"/>
                        </a:ext>
                      </a:extLst>
                    </a:blip>
                    <a:stretch>
                      <a:fillRect/>
                    </a:stretch>
                  </pic:blipFill>
                  <pic:spPr>
                    <a:xfrm>
                      <a:off x="0" y="0"/>
                      <a:ext cx="6372013" cy="4779010"/>
                    </a:xfrm>
                    <a:prstGeom prst="rect">
                      <a:avLst/>
                    </a:prstGeom>
                  </pic:spPr>
                </pic:pic>
              </a:graphicData>
            </a:graphic>
          </wp:inline>
        </w:drawing>
      </w:r>
    </w:p>
    <w:p w14:paraId="0E700E9D" w14:textId="7F3335FA" w:rsidR="00621C24" w:rsidRPr="00FB6D5F" w:rsidRDefault="00DF2580" w:rsidP="00DF2580">
      <w:pPr>
        <w:pStyle w:val="Caption"/>
        <w:jc w:val="center"/>
      </w:pPr>
      <w:r>
        <w:t xml:space="preserve">Figure </w:t>
      </w:r>
      <w:fldSimple w:instr=" SEQ Figure \* ARABIC ">
        <w:r w:rsidR="00D8473C">
          <w:rPr>
            <w:noProof/>
          </w:rPr>
          <w:t>11</w:t>
        </w:r>
      </w:fldSimple>
      <w:r>
        <w:t xml:space="preserve">: Depth-averaged (0-5 </w:t>
      </w:r>
      <w:proofErr w:type="spellStart"/>
      <w:r>
        <w:t>mab</w:t>
      </w:r>
      <w:proofErr w:type="spellEnd"/>
      <w:r>
        <w:t>) bottom a) along shore and b) cross shore velocities from the Protected Mid and Exposed Mid ADCPs collected from July-December 2013. Positive along shore is 40</w:t>
      </w:r>
      <w:r w:rsidRPr="005825E0">
        <w:t>°</w:t>
      </w:r>
      <w:r>
        <w:t xml:space="preserve"> counter clockwise from north at Protected Mid and 13</w:t>
      </w:r>
      <w:r w:rsidRPr="00B66FE3">
        <w:t>°</w:t>
      </w:r>
      <w:r>
        <w:t xml:space="preserve"> counter clockwise from north at Exposed Mid. Positive </w:t>
      </w:r>
      <w:proofErr w:type="gramStart"/>
      <w:r>
        <w:t>cross shore</w:t>
      </w:r>
      <w:proofErr w:type="gramEnd"/>
      <w:r>
        <w:t xml:space="preserve"> velocities are 90</w:t>
      </w:r>
      <w:r w:rsidRPr="005825E0">
        <w:t>°</w:t>
      </w:r>
      <w:r>
        <w:t xml:space="preserve"> clockwise from positive along shore velocities (offshore).</w:t>
      </w:r>
    </w:p>
    <w:sectPr w:rsidR="00621C24" w:rsidRPr="00FB6D5F" w:rsidSect="0091791F">
      <w:footerReference w:type="default" r:id="rId50"/>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7EC2A" w14:textId="77777777" w:rsidR="001275B7" w:rsidRDefault="001275B7" w:rsidP="006D0C96">
      <w:pPr>
        <w:spacing w:line="240" w:lineRule="auto"/>
      </w:pPr>
      <w:r>
        <w:separator/>
      </w:r>
    </w:p>
  </w:endnote>
  <w:endnote w:type="continuationSeparator" w:id="0">
    <w:p w14:paraId="4077E517" w14:textId="77777777" w:rsidR="001275B7" w:rsidRDefault="001275B7"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宋体">
    <w:charset w:val="50"/>
    <w:family w:val="auto"/>
    <w:pitch w:val="variable"/>
    <w:sig w:usb0="00000003" w:usb1="288F0000" w:usb2="00000016" w:usb3="00000000" w:csb0="00040001" w:csb1="00000000"/>
  </w:font>
  <w:font w:name="Lucida Grande">
    <w:altName w:val="Arial"/>
    <w:panose1 w:val="020B0600040502020204"/>
    <w:charset w:val="00"/>
    <w:family w:val="auto"/>
    <w:pitch w:val="variable"/>
    <w:sig w:usb0="E1000AEF" w:usb1="5000A1FF" w:usb2="00000000" w:usb3="00000000" w:csb0="000001BF" w:csb1="00000000"/>
  </w:font>
  <w:font w:name="MS Gothic">
    <w:altName w:val="?l?r ?S?V?b?N"/>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788171"/>
      <w:docPartObj>
        <w:docPartGallery w:val="Page Numbers (Bottom of Page)"/>
        <w:docPartUnique/>
      </w:docPartObj>
    </w:sdtPr>
    <w:sdtEndPr>
      <w:rPr>
        <w:noProof/>
      </w:rPr>
    </w:sdtEndPr>
    <w:sdtContent>
      <w:p w14:paraId="574826AC" w14:textId="77777777" w:rsidR="001275B7" w:rsidRDefault="001275B7">
        <w:pPr>
          <w:pStyle w:val="Footer"/>
          <w:jc w:val="center"/>
        </w:pPr>
        <w:r>
          <w:fldChar w:fldCharType="begin"/>
        </w:r>
        <w:r>
          <w:instrText xml:space="preserve"> PAGE   \* MERGEFORMAT </w:instrText>
        </w:r>
        <w:r>
          <w:fldChar w:fldCharType="separate"/>
        </w:r>
        <w:r w:rsidR="0021306A">
          <w:rPr>
            <w:noProof/>
          </w:rPr>
          <w:t>30</w:t>
        </w:r>
        <w:r>
          <w:rPr>
            <w:noProof/>
          </w:rPr>
          <w:fldChar w:fldCharType="end"/>
        </w:r>
      </w:p>
    </w:sdtContent>
  </w:sdt>
  <w:p w14:paraId="060080D6" w14:textId="77777777" w:rsidR="001275B7" w:rsidRDefault="001275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330EE" w14:textId="77777777" w:rsidR="001275B7" w:rsidRDefault="001275B7" w:rsidP="006D0C96">
      <w:pPr>
        <w:spacing w:line="240" w:lineRule="auto"/>
      </w:pPr>
      <w:r>
        <w:separator/>
      </w:r>
    </w:p>
  </w:footnote>
  <w:footnote w:type="continuationSeparator" w:id="0">
    <w:p w14:paraId="7C8EFD92" w14:textId="77777777" w:rsidR="001275B7" w:rsidRDefault="001275B7" w:rsidP="006D0C9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213"/>
    <w:rsid w:val="00005E12"/>
    <w:rsid w:val="00034CD0"/>
    <w:rsid w:val="0005690A"/>
    <w:rsid w:val="00075F28"/>
    <w:rsid w:val="00082B49"/>
    <w:rsid w:val="000A1B66"/>
    <w:rsid w:val="000C2974"/>
    <w:rsid w:val="000C3A9F"/>
    <w:rsid w:val="00125D51"/>
    <w:rsid w:val="001275B7"/>
    <w:rsid w:val="00132A93"/>
    <w:rsid w:val="001737C5"/>
    <w:rsid w:val="001B2528"/>
    <w:rsid w:val="001C5EB9"/>
    <w:rsid w:val="001E0C95"/>
    <w:rsid w:val="00203F92"/>
    <w:rsid w:val="002043C1"/>
    <w:rsid w:val="00205C9A"/>
    <w:rsid w:val="0021306A"/>
    <w:rsid w:val="002267FB"/>
    <w:rsid w:val="00230288"/>
    <w:rsid w:val="00237799"/>
    <w:rsid w:val="002E1296"/>
    <w:rsid w:val="002E6B0C"/>
    <w:rsid w:val="003118C8"/>
    <w:rsid w:val="00326E63"/>
    <w:rsid w:val="00355C35"/>
    <w:rsid w:val="003A4C07"/>
    <w:rsid w:val="003A4FB4"/>
    <w:rsid w:val="003B40AA"/>
    <w:rsid w:val="003D5288"/>
    <w:rsid w:val="003E1B84"/>
    <w:rsid w:val="003E7652"/>
    <w:rsid w:val="00450DB9"/>
    <w:rsid w:val="00463568"/>
    <w:rsid w:val="0047737E"/>
    <w:rsid w:val="0048060D"/>
    <w:rsid w:val="00484343"/>
    <w:rsid w:val="00493EA4"/>
    <w:rsid w:val="004A2A6F"/>
    <w:rsid w:val="004B7BDE"/>
    <w:rsid w:val="004D0F1A"/>
    <w:rsid w:val="004E2092"/>
    <w:rsid w:val="004E6634"/>
    <w:rsid w:val="00534451"/>
    <w:rsid w:val="0055217B"/>
    <w:rsid w:val="00564213"/>
    <w:rsid w:val="005A4F32"/>
    <w:rsid w:val="005D6F9F"/>
    <w:rsid w:val="00611FD0"/>
    <w:rsid w:val="00621C24"/>
    <w:rsid w:val="006326D7"/>
    <w:rsid w:val="006363E5"/>
    <w:rsid w:val="00670F05"/>
    <w:rsid w:val="00682546"/>
    <w:rsid w:val="006B5EAE"/>
    <w:rsid w:val="006C608D"/>
    <w:rsid w:val="006D0BBB"/>
    <w:rsid w:val="006D0C96"/>
    <w:rsid w:val="006E5133"/>
    <w:rsid w:val="0070537F"/>
    <w:rsid w:val="00710A57"/>
    <w:rsid w:val="00713D08"/>
    <w:rsid w:val="00714DCE"/>
    <w:rsid w:val="00750894"/>
    <w:rsid w:val="00751A44"/>
    <w:rsid w:val="00796A7F"/>
    <w:rsid w:val="007B5E36"/>
    <w:rsid w:val="007E62C6"/>
    <w:rsid w:val="0080319A"/>
    <w:rsid w:val="008202DA"/>
    <w:rsid w:val="00831717"/>
    <w:rsid w:val="00855006"/>
    <w:rsid w:val="00855505"/>
    <w:rsid w:val="008B719F"/>
    <w:rsid w:val="008E213F"/>
    <w:rsid w:val="008E3110"/>
    <w:rsid w:val="009150E4"/>
    <w:rsid w:val="0091791F"/>
    <w:rsid w:val="00932F15"/>
    <w:rsid w:val="00943440"/>
    <w:rsid w:val="009C2AAA"/>
    <w:rsid w:val="009D38E2"/>
    <w:rsid w:val="009F2C0A"/>
    <w:rsid w:val="00A72A7A"/>
    <w:rsid w:val="00A95825"/>
    <w:rsid w:val="00AB4034"/>
    <w:rsid w:val="00AC03C4"/>
    <w:rsid w:val="00AE4157"/>
    <w:rsid w:val="00AE7A01"/>
    <w:rsid w:val="00B4015F"/>
    <w:rsid w:val="00B44DAA"/>
    <w:rsid w:val="00B51B6A"/>
    <w:rsid w:val="00B5719D"/>
    <w:rsid w:val="00B75342"/>
    <w:rsid w:val="00B94A58"/>
    <w:rsid w:val="00BA1007"/>
    <w:rsid w:val="00BC2A7D"/>
    <w:rsid w:val="00BC33B5"/>
    <w:rsid w:val="00BD0523"/>
    <w:rsid w:val="00BE0D1A"/>
    <w:rsid w:val="00C074A3"/>
    <w:rsid w:val="00C11B45"/>
    <w:rsid w:val="00C1589F"/>
    <w:rsid w:val="00C174BA"/>
    <w:rsid w:val="00C26311"/>
    <w:rsid w:val="00C35812"/>
    <w:rsid w:val="00C46068"/>
    <w:rsid w:val="00C61A1F"/>
    <w:rsid w:val="00C81AC2"/>
    <w:rsid w:val="00C82F79"/>
    <w:rsid w:val="00CC51D0"/>
    <w:rsid w:val="00CE425B"/>
    <w:rsid w:val="00CF2CD4"/>
    <w:rsid w:val="00D36456"/>
    <w:rsid w:val="00D40CE0"/>
    <w:rsid w:val="00D45934"/>
    <w:rsid w:val="00D8069D"/>
    <w:rsid w:val="00D8473C"/>
    <w:rsid w:val="00D9418D"/>
    <w:rsid w:val="00DA687D"/>
    <w:rsid w:val="00DB4E53"/>
    <w:rsid w:val="00DD0EDE"/>
    <w:rsid w:val="00DF2580"/>
    <w:rsid w:val="00E00339"/>
    <w:rsid w:val="00E142A8"/>
    <w:rsid w:val="00E16DB7"/>
    <w:rsid w:val="00E276B3"/>
    <w:rsid w:val="00E5632E"/>
    <w:rsid w:val="00E74445"/>
    <w:rsid w:val="00ED6B96"/>
    <w:rsid w:val="00EE089B"/>
    <w:rsid w:val="00EE2B04"/>
    <w:rsid w:val="00EE58C0"/>
    <w:rsid w:val="00F275C2"/>
    <w:rsid w:val="00F35903"/>
    <w:rsid w:val="00F36657"/>
    <w:rsid w:val="00F41C62"/>
    <w:rsid w:val="00F445D7"/>
    <w:rsid w:val="00F5258E"/>
    <w:rsid w:val="00F61347"/>
    <w:rsid w:val="00F662B3"/>
    <w:rsid w:val="00F84096"/>
    <w:rsid w:val="00F95EFA"/>
    <w:rsid w:val="00FA4A16"/>
    <w:rsid w:val="00FB6D5F"/>
    <w:rsid w:val="00FD67D0"/>
    <w:rsid w:val="00FE0EF2"/>
    <w:rsid w:val="00FE6763"/>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219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paragraph" w:customStyle="1" w:styleId="MTDisplayEquation">
    <w:name w:val="MTDisplayEquation"/>
    <w:basedOn w:val="Normal"/>
    <w:next w:val="Normal"/>
    <w:rsid w:val="006363E5"/>
    <w:pPr>
      <w:tabs>
        <w:tab w:val="center" w:pos="4500"/>
        <w:tab w:val="right" w:pos="8640"/>
      </w:tabs>
      <w:spacing w:line="480" w:lineRule="auto"/>
      <w:ind w:left="360"/>
      <w:jc w:val="left"/>
    </w:pPr>
    <w:rPr>
      <w:rFonts w:eastAsiaTheme="minorEastAsia" w:cstheme="minorBidi"/>
      <w:sz w:val="24"/>
      <w:lang w:val="en-US" w:eastAsia="en-US"/>
    </w:rPr>
  </w:style>
  <w:style w:type="paragraph" w:customStyle="1" w:styleId="Headings1">
    <w:name w:val="Headings 1"/>
    <w:basedOn w:val="Normal"/>
    <w:rsid w:val="00D45934"/>
  </w:style>
  <w:style w:type="paragraph" w:styleId="DocumentMap">
    <w:name w:val="Document Map"/>
    <w:basedOn w:val="Normal"/>
    <w:link w:val="DocumentMapChar"/>
    <w:uiPriority w:val="99"/>
    <w:semiHidden/>
    <w:unhideWhenUsed/>
    <w:rsid w:val="00326E63"/>
    <w:pPr>
      <w:spacing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326E63"/>
    <w:rPr>
      <w:rFonts w:ascii="Lucida Grande" w:eastAsia="Times New Roman" w:hAnsi="Lucida Grande" w:cs="Lucida Grande"/>
      <w:sz w:val="24"/>
      <w:szCs w:val="24"/>
      <w:lang w:eastAsia="de-DE"/>
    </w:rPr>
  </w:style>
  <w:style w:type="paragraph" w:styleId="Revision">
    <w:name w:val="Revision"/>
    <w:hidden/>
    <w:uiPriority w:val="99"/>
    <w:semiHidden/>
    <w:rsid w:val="00FA4A16"/>
    <w:rPr>
      <w:rFonts w:ascii="Times New Roman" w:eastAsia="Times New Roman" w:hAnsi="Times New Roman"/>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paragraph" w:customStyle="1" w:styleId="MTDisplayEquation">
    <w:name w:val="MTDisplayEquation"/>
    <w:basedOn w:val="Normal"/>
    <w:next w:val="Normal"/>
    <w:rsid w:val="006363E5"/>
    <w:pPr>
      <w:tabs>
        <w:tab w:val="center" w:pos="4500"/>
        <w:tab w:val="right" w:pos="8640"/>
      </w:tabs>
      <w:spacing w:line="480" w:lineRule="auto"/>
      <w:ind w:left="360"/>
      <w:jc w:val="left"/>
    </w:pPr>
    <w:rPr>
      <w:rFonts w:eastAsiaTheme="minorEastAsia" w:cstheme="minorBidi"/>
      <w:sz w:val="24"/>
      <w:lang w:val="en-US" w:eastAsia="en-US"/>
    </w:rPr>
  </w:style>
  <w:style w:type="paragraph" w:customStyle="1" w:styleId="Headings1">
    <w:name w:val="Headings 1"/>
    <w:basedOn w:val="Normal"/>
    <w:rsid w:val="00D45934"/>
  </w:style>
  <w:style w:type="paragraph" w:styleId="DocumentMap">
    <w:name w:val="Document Map"/>
    <w:basedOn w:val="Normal"/>
    <w:link w:val="DocumentMapChar"/>
    <w:uiPriority w:val="99"/>
    <w:semiHidden/>
    <w:unhideWhenUsed/>
    <w:rsid w:val="00326E63"/>
    <w:pPr>
      <w:spacing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326E63"/>
    <w:rPr>
      <w:rFonts w:ascii="Lucida Grande" w:eastAsia="Times New Roman" w:hAnsi="Lucida Grande" w:cs="Lucida Grande"/>
      <w:sz w:val="24"/>
      <w:szCs w:val="24"/>
      <w:lang w:eastAsia="de-DE"/>
    </w:rPr>
  </w:style>
  <w:style w:type="paragraph" w:styleId="Revision">
    <w:name w:val="Revision"/>
    <w:hidden/>
    <w:uiPriority w:val="99"/>
    <w:semiHidden/>
    <w:rsid w:val="00FA4A16"/>
    <w:rPr>
      <w:rFonts w:ascii="Times New Roman" w:eastAsia="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3.emf"/><Relationship Id="rId47" Type="http://schemas.openxmlformats.org/officeDocument/2006/relationships/image" Target="media/image24.emf"/><Relationship Id="rId48" Type="http://schemas.openxmlformats.org/officeDocument/2006/relationships/image" Target="media/image25.png"/><Relationship Id="rId49" Type="http://schemas.openxmlformats.org/officeDocument/2006/relationships/image" Target="media/image26.emf"/><Relationship Id="rId20" Type="http://schemas.openxmlformats.org/officeDocument/2006/relationships/oleObject" Target="embeddings/oleObject6.bin"/><Relationship Id="rId21" Type="http://schemas.openxmlformats.org/officeDocument/2006/relationships/image" Target="media/image7.emf"/><Relationship Id="rId22" Type="http://schemas.openxmlformats.org/officeDocument/2006/relationships/oleObject" Target="embeddings/oleObject7.bin"/><Relationship Id="rId23" Type="http://schemas.openxmlformats.org/officeDocument/2006/relationships/image" Target="media/image8.emf"/><Relationship Id="rId24" Type="http://schemas.openxmlformats.org/officeDocument/2006/relationships/oleObject" Target="embeddings/oleObject8.bin"/><Relationship Id="rId25" Type="http://schemas.openxmlformats.org/officeDocument/2006/relationships/image" Target="media/image9.emf"/><Relationship Id="rId26" Type="http://schemas.openxmlformats.org/officeDocument/2006/relationships/oleObject" Target="embeddings/oleObject9.bin"/><Relationship Id="rId27" Type="http://schemas.openxmlformats.org/officeDocument/2006/relationships/image" Target="media/image10.emf"/><Relationship Id="rId28" Type="http://schemas.openxmlformats.org/officeDocument/2006/relationships/oleObject" Target="embeddings/oleObject10.bin"/><Relationship Id="rId29" Type="http://schemas.openxmlformats.org/officeDocument/2006/relationships/image" Target="media/image11.emf"/><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oleObject" Target="embeddings/oleObject11.bin"/><Relationship Id="rId31" Type="http://schemas.openxmlformats.org/officeDocument/2006/relationships/image" Target="media/image12.emf"/><Relationship Id="rId32" Type="http://schemas.openxmlformats.org/officeDocument/2006/relationships/oleObject" Target="embeddings/oleObject12.bin"/><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3.emf"/><Relationship Id="rId34" Type="http://schemas.openxmlformats.org/officeDocument/2006/relationships/oleObject" Target="embeddings/oleObject13.bin"/><Relationship Id="rId35" Type="http://schemas.openxmlformats.org/officeDocument/2006/relationships/image" Target="media/image14.emf"/><Relationship Id="rId36" Type="http://schemas.openxmlformats.org/officeDocument/2006/relationships/oleObject" Target="embeddings/oleObject14.bin"/><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image" Target="media/image5.emf"/><Relationship Id="rId18" Type="http://schemas.openxmlformats.org/officeDocument/2006/relationships/oleObject" Target="embeddings/oleObject5.bin"/><Relationship Id="rId19" Type="http://schemas.openxmlformats.org/officeDocument/2006/relationships/image" Target="media/image6.emf"/><Relationship Id="rId37" Type="http://schemas.openxmlformats.org/officeDocument/2006/relationships/image" Target="media/image15.png"/><Relationship Id="rId38" Type="http://schemas.openxmlformats.org/officeDocument/2006/relationships/image" Target="media/image16.emf"/><Relationship Id="rId39" Type="http://schemas.openxmlformats.org/officeDocument/2006/relationships/image" Target="media/image17.emf"/><Relationship Id="rId40" Type="http://schemas.openxmlformats.org/officeDocument/2006/relationships/oleObject" Target="embeddings/oleObject15.bin"/><Relationship Id="rId41" Type="http://schemas.openxmlformats.org/officeDocument/2006/relationships/image" Target="media/image18.png"/><Relationship Id="rId42" Type="http://schemas.openxmlformats.org/officeDocument/2006/relationships/image" Target="media/image19.emf"/><Relationship Id="rId43" Type="http://schemas.openxmlformats.org/officeDocument/2006/relationships/image" Target="media/image20.emf"/><Relationship Id="rId44" Type="http://schemas.openxmlformats.org/officeDocument/2006/relationships/image" Target="media/image21.emf"/><Relationship Id="rId45"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B1B9A-05D9-2048-A3A9-0C27A9C5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\CopernicusTemplates\Free-Forms\Blank.dotm</Template>
  <TotalTime>6</TotalTime>
  <Pages>31</Pages>
  <Words>51494</Words>
  <Characters>293519</Characters>
  <Application>Microsoft Macintosh Word</Application>
  <DocSecurity>0</DocSecurity>
  <Lines>2445</Lines>
  <Paragraphs>688</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344325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David Koweek</cp:lastModifiedBy>
  <cp:revision>4</cp:revision>
  <cp:lastPrinted>2016-12-02T01:46:00Z</cp:lastPrinted>
  <dcterms:created xsi:type="dcterms:W3CDTF">2016-12-17T01:38:00Z</dcterms:created>
  <dcterms:modified xsi:type="dcterms:W3CDTF">2016-12-17T01:46:00Z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b2c6eefb-d657-3068-9b9b-6811eaf6afe0</vt:lpwstr>
  </property>
  <property fmtid="{D5CDD505-2E9C-101B-9397-08002B2CF9AE}" pid="4" name="Mendeley Citation Style_1">
    <vt:lpwstr>http://www.zotero.org/styles/biogeosciences</vt:lpwstr>
  </property>
  <property fmtid="{D5CDD505-2E9C-101B-9397-08002B2CF9AE}" pid="5" name="Mendeley Recent Style Id 0_1">
    <vt:lpwstr>http://www.zotero.org/styles/american-chemical-society-with-titles-sentence-case-doi</vt:lpwstr>
  </property>
  <property fmtid="{D5CDD505-2E9C-101B-9397-08002B2CF9AE}" pid="6" name="Mendeley Recent Style Name 0_1">
    <vt:lpwstr>American Chemical Society (with titles and DOI, sentence case)</vt:lpwstr>
  </property>
  <property fmtid="{D5CDD505-2E9C-101B-9397-08002B2CF9AE}" pid="7" name="Mendeley Recent Style Id 1_1">
    <vt:lpwstr>http://www.zotero.org/styles/american-geophysical-union</vt:lpwstr>
  </property>
  <property fmtid="{D5CDD505-2E9C-101B-9397-08002B2CF9AE}" pid="8" name="Mendeley Recent Style Name 1_1">
    <vt:lpwstr>American Geophysical Union</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vt:lpwstr>
  </property>
  <property fmtid="{D5CDD505-2E9C-101B-9397-08002B2CF9AE}" pid="11" name="Mendeley Recent Style Id 3_1">
    <vt:lpwstr>http://www.zotero.org/styles/american-political-science-association</vt:lpwstr>
  </property>
  <property fmtid="{D5CDD505-2E9C-101B-9397-08002B2CF9AE}" pid="12" name="Mendeley Recent Style Name 3_1">
    <vt:lpwstr>American Political Science Association</vt:lpwstr>
  </property>
  <property fmtid="{D5CDD505-2E9C-101B-9397-08002B2CF9AE}" pid="13" name="Mendeley Recent Style Id 4_1">
    <vt:lpwstr>http://www.zotero.org/styles/biogeosciences</vt:lpwstr>
  </property>
  <property fmtid="{D5CDD505-2E9C-101B-9397-08002B2CF9AE}" pid="14" name="Mendeley Recent Style Name 4_1">
    <vt:lpwstr>Biogeosciences</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http://www.zotero.org/styles/marine-ecology-progress-series</vt:lpwstr>
  </property>
  <property fmtid="{D5CDD505-2E9C-101B-9397-08002B2CF9AE}" pid="22" name="Mendeley Recent Style Name 8_1">
    <vt:lpwstr>Marine Ecology Progress Series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