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EFB" w:rsidRPr="00774692" w:rsidRDefault="00334B2B" w:rsidP="00E16802">
      <w:pPr>
        <w:spacing w:before="120"/>
        <w:jc w:val="both"/>
        <w:rPr>
          <w:b/>
          <w:sz w:val="28"/>
        </w:rPr>
      </w:pPr>
      <w:r w:rsidRPr="00774692">
        <w:rPr>
          <w:b/>
          <w:sz w:val="28"/>
        </w:rPr>
        <w:t>Nitrogen mineralization, not N</w:t>
      </w:r>
      <w:r w:rsidRPr="00774692">
        <w:rPr>
          <w:b/>
          <w:sz w:val="28"/>
          <w:vertAlign w:val="subscript"/>
        </w:rPr>
        <w:t>2</w:t>
      </w:r>
      <w:r w:rsidRPr="00774692">
        <w:rPr>
          <w:b/>
          <w:sz w:val="28"/>
        </w:rPr>
        <w:t xml:space="preserve"> fixation alleviates progressive nitrogen limitation – </w:t>
      </w:r>
      <w:r w:rsidR="005F60D9" w:rsidRPr="00774692">
        <w:rPr>
          <w:b/>
          <w:sz w:val="28"/>
        </w:rPr>
        <w:t xml:space="preserve">Comment on “Processes regulating progressive nitrogen limitation under elevated carbon dioxide: a meta-analysis” by Liang et al. </w:t>
      </w:r>
    </w:p>
    <w:p w:rsidR="00863EFB" w:rsidRDefault="00863EFB" w:rsidP="00E16802">
      <w:pPr>
        <w:spacing w:before="120"/>
        <w:jc w:val="both"/>
      </w:pPr>
    </w:p>
    <w:p w:rsidR="00774692" w:rsidRDefault="00774692" w:rsidP="00E16802">
      <w:pPr>
        <w:spacing w:before="120"/>
        <w:jc w:val="both"/>
      </w:pPr>
      <w:r>
        <w:t>Tobias Rütting</w:t>
      </w:r>
      <w:r w:rsidRPr="00774692">
        <w:rPr>
          <w:vertAlign w:val="superscript"/>
        </w:rPr>
        <w:t>1</w:t>
      </w:r>
    </w:p>
    <w:p w:rsidR="00774692" w:rsidRDefault="00774692" w:rsidP="00E16802">
      <w:pPr>
        <w:spacing w:before="120"/>
        <w:jc w:val="both"/>
      </w:pPr>
      <w:r w:rsidRPr="00774692">
        <w:rPr>
          <w:vertAlign w:val="superscript"/>
        </w:rPr>
        <w:t>1</w:t>
      </w:r>
      <w:r>
        <w:t xml:space="preserve"> Department of </w:t>
      </w:r>
      <w:r w:rsidR="00D506CB">
        <w:t>E</w:t>
      </w:r>
      <w:r>
        <w:t xml:space="preserve">arth Sciences, University of Gothenburg, Sweden, </w:t>
      </w:r>
      <w:hyperlink r:id="rId7" w:history="1">
        <w:r w:rsidRPr="00E66258">
          <w:rPr>
            <w:rStyle w:val="Hyperlink"/>
          </w:rPr>
          <w:t>tobias.rutting@gu.se</w:t>
        </w:r>
      </w:hyperlink>
    </w:p>
    <w:p w:rsidR="00774692" w:rsidRDefault="00774692" w:rsidP="00E16802">
      <w:pPr>
        <w:spacing w:before="120"/>
        <w:jc w:val="both"/>
      </w:pPr>
    </w:p>
    <w:p w:rsidR="00863EFB" w:rsidRPr="00DC6A60" w:rsidRDefault="00863EFB" w:rsidP="00E16802">
      <w:pPr>
        <w:spacing w:before="120"/>
        <w:jc w:val="both"/>
      </w:pPr>
      <w:r w:rsidRPr="00DC6A60">
        <w:t xml:space="preserve">The responses of terrestrial ecosystems to increasing </w:t>
      </w:r>
      <w:r w:rsidR="00184F39">
        <w:t>carbon dioxide (</w:t>
      </w:r>
      <w:r w:rsidRPr="00DC6A60">
        <w:t>CO</w:t>
      </w:r>
      <w:r w:rsidRPr="00DC6A60">
        <w:rPr>
          <w:vertAlign w:val="subscript"/>
        </w:rPr>
        <w:t>2</w:t>
      </w:r>
      <w:r w:rsidR="00184F39">
        <w:t xml:space="preserve">) </w:t>
      </w:r>
      <w:r w:rsidRPr="00DC6A60">
        <w:t xml:space="preserve">concentrations in the atmosphere are expected to be strongly affected by nitrogen (N) availability, due to its limiting effect on ecosystem productivity </w:t>
      </w:r>
      <w:r w:rsidRPr="00DC6A60">
        <w:rPr>
          <w:noProof/>
        </w:rPr>
        <w:t>(Hungate et al., 2003</w:t>
      </w:r>
      <w:r w:rsidR="00D83EB2">
        <w:rPr>
          <w:noProof/>
        </w:rPr>
        <w:t>; Wang and Houlton, 2009</w:t>
      </w:r>
      <w:r w:rsidRPr="00DC6A60">
        <w:rPr>
          <w:noProof/>
        </w:rPr>
        <w:t>)</w:t>
      </w:r>
      <w:r w:rsidRPr="00DC6A60">
        <w:t xml:space="preserve">. A popular hypothesis is the progressive N limitation (PNL), which assumes that an enhanced net primary productivity </w:t>
      </w:r>
      <w:r w:rsidR="009F14C9">
        <w:t xml:space="preserve">(NPP) </w:t>
      </w:r>
      <w:r w:rsidRPr="00DC6A60">
        <w:t>due to elevated CO</w:t>
      </w:r>
      <w:r w:rsidRPr="00DC6A60">
        <w:rPr>
          <w:vertAlign w:val="subscript"/>
        </w:rPr>
        <w:t>2</w:t>
      </w:r>
      <w:r w:rsidRPr="00DC6A60">
        <w:t xml:space="preserve"> leads to storage of </w:t>
      </w:r>
      <w:r w:rsidR="000631F8" w:rsidRPr="00DC6A60">
        <w:t xml:space="preserve">not only </w:t>
      </w:r>
      <w:r w:rsidRPr="00DC6A60">
        <w:t>carbon, but also N in long-lived ecosystems pools, such a</w:t>
      </w:r>
      <w:r w:rsidR="001C36D1">
        <w:t>s</w:t>
      </w:r>
      <w:r w:rsidRPr="00DC6A60">
        <w:t xml:space="preserve"> woody biomass or soil organic matter </w:t>
      </w:r>
      <w:r w:rsidRPr="00DC6A60">
        <w:rPr>
          <w:noProof/>
        </w:rPr>
        <w:t>(Luo et al., 2004)</w:t>
      </w:r>
      <w:r w:rsidRPr="00DC6A60">
        <w:t>. This stor</w:t>
      </w:r>
      <w:r w:rsidR="00D07954">
        <w:t>ing</w:t>
      </w:r>
      <w:r w:rsidRPr="00DC6A60">
        <w:t xml:space="preserve"> of N is hypothesi</w:t>
      </w:r>
      <w:r w:rsidR="00DC6A60" w:rsidRPr="00DC6A60">
        <w:t>z</w:t>
      </w:r>
      <w:r w:rsidRPr="00DC6A60">
        <w:t>e</w:t>
      </w:r>
      <w:r w:rsidR="00DC6A60" w:rsidRPr="00DC6A60">
        <w:t>d</w:t>
      </w:r>
      <w:r w:rsidRPr="00DC6A60">
        <w:t xml:space="preserve"> to decrease the N availability for plant N uptake, posing a negative feedback to enhanced NPP. This negative feedback is expected to become progressively more pronounced</w:t>
      </w:r>
      <w:r w:rsidR="00D07954">
        <w:t xml:space="preserve"> through time</w:t>
      </w:r>
      <w:r w:rsidRPr="00DC6A60">
        <w:t>. However, in the original formulation of the PNL hypothesis, soil processes are largely ignored, though they are mentioned as potential mechanism</w:t>
      </w:r>
      <w:r w:rsidR="001C36D1">
        <w:t>s</w:t>
      </w:r>
      <w:r w:rsidRPr="00DC6A60">
        <w:t xml:space="preserve"> that can delay or prevent the development of a PNL</w:t>
      </w:r>
      <w:r w:rsidR="00184F39">
        <w:t xml:space="preserve"> </w:t>
      </w:r>
      <w:r w:rsidR="00184F39" w:rsidRPr="00DC6A60">
        <w:rPr>
          <w:noProof/>
        </w:rPr>
        <w:t>(Luo et al., 2004)</w:t>
      </w:r>
      <w:r w:rsidR="00184F39" w:rsidRPr="00DC6A60">
        <w:t>.</w:t>
      </w:r>
      <w:r w:rsidRPr="00DC6A60">
        <w:t xml:space="preserve"> Data on the development of NPP stimulation under long-term free air CO</w:t>
      </w:r>
      <w:r w:rsidRPr="00DC6A60">
        <w:rPr>
          <w:vertAlign w:val="subscript"/>
        </w:rPr>
        <w:t>2</w:t>
      </w:r>
      <w:r w:rsidRPr="00DC6A60">
        <w:t xml:space="preserve"> enrichment (FACE) </w:t>
      </w:r>
      <w:r w:rsidR="00CB7AF3">
        <w:t xml:space="preserve">experiments </w:t>
      </w:r>
      <w:r w:rsidRPr="00DC6A60">
        <w:t xml:space="preserve">indicate that most </w:t>
      </w:r>
      <w:r w:rsidR="00CB7AF3">
        <w:t xml:space="preserve">ecosystems have not </w:t>
      </w:r>
      <w:r w:rsidRPr="00DC6A60">
        <w:t>develop</w:t>
      </w:r>
      <w:r w:rsidR="00CB7AF3">
        <w:t xml:space="preserve">ed a </w:t>
      </w:r>
      <w:r w:rsidRPr="00DC6A60">
        <w:t>PNL on decadal scale</w:t>
      </w:r>
      <w:r w:rsidR="00DC6A60" w:rsidRPr="00DC6A60">
        <w:t xml:space="preserve"> (Feng et al., 2015)</w:t>
      </w:r>
      <w:r w:rsidRPr="00DC6A60">
        <w:t xml:space="preserve">, </w:t>
      </w:r>
      <w:r w:rsidR="008A2900">
        <w:t>al</w:t>
      </w:r>
      <w:r w:rsidR="00CB7AF3">
        <w:t xml:space="preserve">though </w:t>
      </w:r>
      <w:r w:rsidRPr="00DC6A60">
        <w:t xml:space="preserve">some </w:t>
      </w:r>
      <w:r w:rsidR="008A2900">
        <w:t xml:space="preserve">experiments did show </w:t>
      </w:r>
      <w:r w:rsidRPr="00DC6A60">
        <w:t xml:space="preserve">a clear decreased NPP stimulation due to PNL. </w:t>
      </w:r>
      <w:r w:rsidR="00DC6A60" w:rsidRPr="00DC6A60">
        <w:t xml:space="preserve">Understanding why a PNL </w:t>
      </w:r>
      <w:r w:rsidR="00D07954">
        <w:t>i</w:t>
      </w:r>
      <w:r w:rsidR="00DC6A60" w:rsidRPr="00DC6A60">
        <w:t xml:space="preserve">s often not (yet) </w:t>
      </w:r>
      <w:r w:rsidR="00D07954">
        <w:t>present</w:t>
      </w:r>
      <w:r w:rsidR="00D07954" w:rsidRPr="00DC6A60">
        <w:t xml:space="preserve"> </w:t>
      </w:r>
      <w:r w:rsidR="00DC6A60" w:rsidRPr="00DC6A60">
        <w:t xml:space="preserve">in most long-term FACE experiments requires a comprehensive assessment of processes that might alleviate, prevent or delay the development of a PNL. </w:t>
      </w:r>
    </w:p>
    <w:p w:rsidR="00863EFB" w:rsidRDefault="00863EFB" w:rsidP="00E16802">
      <w:pPr>
        <w:spacing w:before="120"/>
        <w:jc w:val="both"/>
      </w:pPr>
      <w:r>
        <w:t>In their recent meta-analysis, Liang et al. (2016) aimed at th</w:t>
      </w:r>
      <w:r w:rsidR="00F936B7">
        <w:t>is</w:t>
      </w:r>
      <w:r>
        <w:t xml:space="preserve"> and concluded that increased biological </w:t>
      </w:r>
      <w:r w:rsidRPr="00EF5568">
        <w:t>N</w:t>
      </w:r>
      <w:r w:rsidRPr="00EF5568">
        <w:rPr>
          <w:vertAlign w:val="subscript"/>
        </w:rPr>
        <w:t>2</w:t>
      </w:r>
      <w:r>
        <w:t xml:space="preserve"> fixation (BNF) together with decreased </w:t>
      </w:r>
      <w:r w:rsidR="00184F39">
        <w:t>nitrate (</w:t>
      </w:r>
      <w:r w:rsidRPr="0041625A">
        <w:rPr>
          <w:iCs/>
        </w:rPr>
        <w:t>NO</w:t>
      </w:r>
      <w:r w:rsidRPr="0041625A">
        <w:rPr>
          <w:iCs/>
          <w:vertAlign w:val="subscript"/>
        </w:rPr>
        <w:t>3</w:t>
      </w:r>
      <w:r w:rsidRPr="0041625A">
        <w:rPr>
          <w:iCs/>
          <w:vertAlign w:val="superscript"/>
        </w:rPr>
        <w:t>-</w:t>
      </w:r>
      <w:r w:rsidR="00184F39">
        <w:t xml:space="preserve">) </w:t>
      </w:r>
      <w:r>
        <w:t>leaching “</w:t>
      </w:r>
      <w:r w:rsidRPr="00F36277">
        <w:t xml:space="preserve">may potentially alleviate PNL under elevated </w:t>
      </w:r>
      <w:r w:rsidRPr="004D556C">
        <w:t>CO</w:t>
      </w:r>
      <w:r w:rsidRPr="004D556C">
        <w:rPr>
          <w:vertAlign w:val="subscript"/>
        </w:rPr>
        <w:t>2</w:t>
      </w:r>
      <w:r>
        <w:t xml:space="preserve"> </w:t>
      </w:r>
      <w:r w:rsidRPr="00F36277">
        <w:t>conditions</w:t>
      </w:r>
      <w:r>
        <w:t xml:space="preserve">”. However, this conclusion is misleading due to at least two facts. First, there is a bias in the dataset </w:t>
      </w:r>
      <w:r w:rsidR="00F936B7">
        <w:t xml:space="preserve">towards experiments with </w:t>
      </w:r>
      <w:r w:rsidR="008A2900">
        <w:t xml:space="preserve">dominance of symbiotic </w:t>
      </w:r>
      <w:r>
        <w:t xml:space="preserve">BNF, questioning the generality of the found increased in BNF in </w:t>
      </w:r>
      <w:r w:rsidR="00F936B7">
        <w:t xml:space="preserve">all </w:t>
      </w:r>
      <w:r>
        <w:t xml:space="preserve">terrestrial ecosystems. Second, one of the most crucial processes for N availability in terrestrial </w:t>
      </w:r>
      <w:r>
        <w:lastRenderedPageBreak/>
        <w:t>ecosystems has not been considered by Liang et al.</w:t>
      </w:r>
      <w:r w:rsidR="00184F39">
        <w:t xml:space="preserve"> (2016)</w:t>
      </w:r>
      <w:r>
        <w:t>: the actual soil N mineralization measured as gross rates.</w:t>
      </w:r>
    </w:p>
    <w:p w:rsidR="00111184" w:rsidRDefault="00863EFB" w:rsidP="00E16802">
      <w:pPr>
        <w:spacing w:before="120"/>
        <w:jc w:val="both"/>
      </w:pPr>
      <w:r>
        <w:t xml:space="preserve">Biological </w:t>
      </w:r>
      <w:r w:rsidRPr="00EF5568">
        <w:t>N</w:t>
      </w:r>
      <w:r w:rsidRPr="00EF5568">
        <w:rPr>
          <w:vertAlign w:val="subscript"/>
        </w:rPr>
        <w:t>2</w:t>
      </w:r>
      <w:r>
        <w:t xml:space="preserve"> fixation can occur in most terrestrial ecosystems</w:t>
      </w:r>
      <w:r w:rsidR="00184F39">
        <w:t>. The</w:t>
      </w:r>
      <w:r>
        <w:t xml:space="preserve"> highest rates </w:t>
      </w:r>
      <w:r w:rsidR="00184F39">
        <w:t xml:space="preserve">of BNF </w:t>
      </w:r>
      <w:r>
        <w:t xml:space="preserve">occur in ecosystems dominated by symbiotic </w:t>
      </w:r>
      <w:r w:rsidRPr="00EF5568">
        <w:t>N</w:t>
      </w:r>
      <w:r w:rsidRPr="00EF5568">
        <w:rPr>
          <w:vertAlign w:val="subscript"/>
        </w:rPr>
        <w:t>2</w:t>
      </w:r>
      <w:r>
        <w:t xml:space="preserve"> fixation</w:t>
      </w:r>
      <w:r w:rsidR="001832C5">
        <w:t>, such as legumes</w:t>
      </w:r>
      <w:r>
        <w:t xml:space="preserve"> </w:t>
      </w:r>
      <w:r>
        <w:rPr>
          <w:noProof/>
        </w:rPr>
        <w:t>(Evans and Barber, 1977; Cleveland et al., 1999)</w:t>
      </w:r>
      <w:r>
        <w:t xml:space="preserve">. </w:t>
      </w:r>
      <w:r w:rsidR="00F936B7">
        <w:t>However, t</w:t>
      </w:r>
      <w:r>
        <w:t xml:space="preserve">hese ecosystems are limited in </w:t>
      </w:r>
      <w:r w:rsidR="00F936B7">
        <w:t xml:space="preserve">areal </w:t>
      </w:r>
      <w:r>
        <w:t xml:space="preserve">extend, for instance legumes cover only about 10% of the agricultural land globally </w:t>
      </w:r>
      <w:r>
        <w:rPr>
          <w:noProof/>
        </w:rPr>
        <w:t>(Smil, 1999)</w:t>
      </w:r>
      <w:r>
        <w:t xml:space="preserve">. Moreover, in natural ecosystems symbiotic </w:t>
      </w:r>
      <w:r w:rsidRPr="00EF5568">
        <w:t>N</w:t>
      </w:r>
      <w:r w:rsidRPr="00EF5568">
        <w:rPr>
          <w:vertAlign w:val="subscript"/>
        </w:rPr>
        <w:t>2</w:t>
      </w:r>
      <w:r>
        <w:t xml:space="preserve"> fixation might be downregulated </w:t>
      </w:r>
      <w:r>
        <w:rPr>
          <w:noProof/>
        </w:rPr>
        <w:t>(Batterman et al., 2013)</w:t>
      </w:r>
      <w:r>
        <w:t>. In the</w:t>
      </w:r>
      <w:r w:rsidR="001832C5">
        <w:t>ir</w:t>
      </w:r>
      <w:r>
        <w:t xml:space="preserve"> meta-analysis, Liang et al. (2016) found that BNF increased on average by 44 % under elevated </w:t>
      </w:r>
      <w:r w:rsidRPr="004D556C">
        <w:t>CO</w:t>
      </w:r>
      <w:r w:rsidRPr="004D556C">
        <w:rPr>
          <w:vertAlign w:val="subscript"/>
        </w:rPr>
        <w:t>2</w:t>
      </w:r>
      <w:r>
        <w:t xml:space="preserve">. However, this increase </w:t>
      </w:r>
      <w:r w:rsidR="00382051">
        <w:t>derived from a</w:t>
      </w:r>
      <w:r>
        <w:t xml:space="preserve"> data set, having an overrepresentation of ecosystems dominated by plants with symbiotic </w:t>
      </w:r>
      <w:r w:rsidRPr="00EF5568">
        <w:t>N</w:t>
      </w:r>
      <w:r w:rsidRPr="00EF5568">
        <w:rPr>
          <w:vertAlign w:val="subscript"/>
        </w:rPr>
        <w:t>2</w:t>
      </w:r>
      <w:r>
        <w:t xml:space="preserve"> fixation</w:t>
      </w:r>
      <w:r w:rsidR="00382051">
        <w:t xml:space="preserve"> relative to most ecosystems</w:t>
      </w:r>
      <w:r>
        <w:t xml:space="preserve">. </w:t>
      </w:r>
      <w:r w:rsidR="00E62214">
        <w:t>Alternatively, when c</w:t>
      </w:r>
      <w:r>
        <w:t xml:space="preserve">onsidering FACE and </w:t>
      </w:r>
      <w:r w:rsidR="00863970">
        <w:t>open top chamber (</w:t>
      </w:r>
      <w:r>
        <w:t>OTC</w:t>
      </w:r>
      <w:r w:rsidR="00863970">
        <w:t>)</w:t>
      </w:r>
      <w:r>
        <w:t xml:space="preserve"> studies only, 15 of the 26 data points </w:t>
      </w:r>
      <w:r w:rsidR="00E62214">
        <w:t>originated</w:t>
      </w:r>
      <w:r>
        <w:t xml:space="preserve"> from </w:t>
      </w:r>
      <w:r w:rsidR="00E62214">
        <w:t xml:space="preserve">experiments </w:t>
      </w:r>
      <w:r>
        <w:t xml:space="preserve">dominated by symbiotic </w:t>
      </w:r>
      <w:r w:rsidRPr="00EF5568">
        <w:t>N</w:t>
      </w:r>
      <w:r w:rsidRPr="00EF5568">
        <w:rPr>
          <w:vertAlign w:val="subscript"/>
        </w:rPr>
        <w:t>2</w:t>
      </w:r>
      <w:r>
        <w:t xml:space="preserve"> fixation. In those,</w:t>
      </w:r>
      <w:r w:rsidR="00E62214">
        <w:t xml:space="preserve"> the</w:t>
      </w:r>
      <w:r>
        <w:t xml:space="preserve"> BNF was significantly increased </w:t>
      </w:r>
      <w:r w:rsidR="00E62214">
        <w:t>under</w:t>
      </w:r>
      <w:r>
        <w:t xml:space="preserve"> elevated </w:t>
      </w:r>
      <w:r w:rsidRPr="004D556C">
        <w:t>CO</w:t>
      </w:r>
      <w:r w:rsidRPr="004D556C">
        <w:rPr>
          <w:vertAlign w:val="subscript"/>
        </w:rPr>
        <w:t>2</w:t>
      </w:r>
      <w:r>
        <w:t>, by 56</w:t>
      </w:r>
      <w:r w:rsidR="00E529C4">
        <w:t>.3</w:t>
      </w:r>
      <w:r>
        <w:t xml:space="preserve"> % </w:t>
      </w:r>
      <w:r w:rsidR="00E62214">
        <w:t xml:space="preserve">on average </w:t>
      </w:r>
      <w:r w:rsidR="00E529C4">
        <w:t>(95 % confidence interval:</w:t>
      </w:r>
      <w:r w:rsidR="00E529C4" w:rsidRPr="00E529C4">
        <w:t xml:space="preserve"> </w:t>
      </w:r>
      <w:r w:rsidR="00E529C4">
        <w:t>+</w:t>
      </w:r>
      <w:r w:rsidR="00E529C4" w:rsidRPr="00E529C4">
        <w:t>25.1</w:t>
      </w:r>
      <w:r w:rsidR="00E529C4">
        <w:t xml:space="preserve"> </w:t>
      </w:r>
      <w:r w:rsidR="00E529C4" w:rsidRPr="00E529C4">
        <w:t>%</w:t>
      </w:r>
      <w:r w:rsidR="00E529C4">
        <w:t xml:space="preserve"> to +</w:t>
      </w:r>
      <w:r w:rsidR="00E529C4" w:rsidRPr="00E529C4">
        <w:t>95.4</w:t>
      </w:r>
      <w:r w:rsidR="00E529C4">
        <w:t xml:space="preserve"> </w:t>
      </w:r>
      <w:r w:rsidR="00E529C4" w:rsidRPr="00E529C4">
        <w:t>%</w:t>
      </w:r>
      <w:r w:rsidR="00E529C4">
        <w:t xml:space="preserve">; </w:t>
      </w:r>
      <w:r>
        <w:t xml:space="preserve">Fig. 1). In contrast, ecosystems not dominated by symbiotic </w:t>
      </w:r>
      <w:r w:rsidRPr="00EF5568">
        <w:t>N</w:t>
      </w:r>
      <w:r w:rsidRPr="00EF5568">
        <w:rPr>
          <w:vertAlign w:val="subscript"/>
        </w:rPr>
        <w:t>2</w:t>
      </w:r>
      <w:r>
        <w:t xml:space="preserve"> fixation showed no </w:t>
      </w:r>
      <w:r w:rsidR="00E529C4">
        <w:t xml:space="preserve">significant </w:t>
      </w:r>
      <w:r>
        <w:t>increase in the BNF</w:t>
      </w:r>
      <w:r w:rsidR="00E529C4">
        <w:t xml:space="preserve"> (mean: +13.6 %; 95</w:t>
      </w:r>
      <w:r w:rsidR="00F1304A">
        <w:t xml:space="preserve"> </w:t>
      </w:r>
      <w:r w:rsidR="00E529C4">
        <w:t xml:space="preserve">% confidence interval: </w:t>
      </w:r>
      <w:r w:rsidR="00E529C4" w:rsidRPr="00E529C4">
        <w:t>-8.6</w:t>
      </w:r>
      <w:r w:rsidR="00E529C4">
        <w:t xml:space="preserve"> </w:t>
      </w:r>
      <w:r w:rsidR="00E529C4" w:rsidRPr="00E529C4">
        <w:t>%</w:t>
      </w:r>
      <w:r w:rsidR="00E529C4">
        <w:t xml:space="preserve"> to +</w:t>
      </w:r>
      <w:r w:rsidR="00E529C4" w:rsidRPr="00E529C4">
        <w:t>41.3</w:t>
      </w:r>
      <w:r w:rsidR="00E529C4">
        <w:t xml:space="preserve"> </w:t>
      </w:r>
      <w:r w:rsidR="00E529C4" w:rsidRPr="00E529C4">
        <w:t>%</w:t>
      </w:r>
      <w:r w:rsidR="00E529C4">
        <w:t>)</w:t>
      </w:r>
      <w:r>
        <w:t xml:space="preserve">. </w:t>
      </w:r>
      <w:r w:rsidR="00F1304A">
        <w:t xml:space="preserve">This </w:t>
      </w:r>
      <w:r w:rsidR="00E62214">
        <w:t xml:space="preserve">contrast </w:t>
      </w:r>
      <w:r w:rsidR="00F1304A">
        <w:t xml:space="preserve">becomes </w:t>
      </w:r>
      <w:r w:rsidR="00184F39">
        <w:t>even more clear if rice paddies</w:t>
      </w:r>
      <w:r w:rsidR="00F1304A">
        <w:t xml:space="preserve"> were </w:t>
      </w:r>
      <w:r w:rsidR="00EF3E67">
        <w:t>excluded from</w:t>
      </w:r>
      <w:r w:rsidR="00F1304A">
        <w:t xml:space="preserve"> non-</w:t>
      </w:r>
      <w:r w:rsidR="00F1304A" w:rsidRPr="00EF5568">
        <w:t>N</w:t>
      </w:r>
      <w:r w:rsidR="00F1304A" w:rsidRPr="00EF5568">
        <w:rPr>
          <w:vertAlign w:val="subscript"/>
        </w:rPr>
        <w:t>2</w:t>
      </w:r>
      <w:r w:rsidR="00F1304A">
        <w:t xml:space="preserve"> fixing ecosystems (mean: +4.1 %; 95 % confidence interval: </w:t>
      </w:r>
      <w:r w:rsidR="00F1304A" w:rsidRPr="00F1304A">
        <w:t>-20.2</w:t>
      </w:r>
      <w:r w:rsidR="00F1304A">
        <w:t xml:space="preserve"> </w:t>
      </w:r>
      <w:r w:rsidR="00F1304A" w:rsidRPr="00F1304A">
        <w:t>%</w:t>
      </w:r>
      <w:r w:rsidR="00F1304A">
        <w:t xml:space="preserve"> to +</w:t>
      </w:r>
      <w:r w:rsidR="00F1304A" w:rsidRPr="00F1304A">
        <w:t>35.7</w:t>
      </w:r>
      <w:r w:rsidR="00F1304A">
        <w:t xml:space="preserve"> </w:t>
      </w:r>
      <w:r w:rsidR="00F1304A" w:rsidRPr="00F1304A">
        <w:t>%</w:t>
      </w:r>
      <w:r w:rsidR="00F1304A">
        <w:t>)</w:t>
      </w:r>
      <w:r w:rsidR="00E62214">
        <w:t xml:space="preserve">, </w:t>
      </w:r>
      <w:r w:rsidR="00F56495">
        <w:t xml:space="preserve">as </w:t>
      </w:r>
      <w:r w:rsidR="00E62214">
        <w:t xml:space="preserve">these paddies have substantial biological crusts with </w:t>
      </w:r>
      <w:r w:rsidR="00E62214" w:rsidRPr="00EF5568">
        <w:t>N</w:t>
      </w:r>
      <w:r w:rsidR="00E62214" w:rsidRPr="00EF5568">
        <w:rPr>
          <w:vertAlign w:val="subscript"/>
        </w:rPr>
        <w:t>2</w:t>
      </w:r>
      <w:r w:rsidR="00E62214">
        <w:t xml:space="preserve"> fixating cyanobacteria (Hoque et al., 2001)</w:t>
      </w:r>
      <w:r w:rsidR="00F1304A">
        <w:t xml:space="preserve">. </w:t>
      </w:r>
    </w:p>
    <w:p w:rsidR="00863EFB" w:rsidRDefault="005D56A0" w:rsidP="00E16802">
      <w:pPr>
        <w:spacing w:before="120"/>
        <w:jc w:val="both"/>
      </w:pPr>
      <w:r>
        <w:t>N</w:t>
      </w:r>
      <w:r w:rsidR="00863EFB">
        <w:t xml:space="preserve">one of the long-term FACE experiments for which biomass responses to elevated </w:t>
      </w:r>
      <w:r w:rsidR="00863EFB" w:rsidRPr="004D556C">
        <w:t>CO</w:t>
      </w:r>
      <w:r w:rsidR="00863EFB" w:rsidRPr="004D556C">
        <w:rPr>
          <w:vertAlign w:val="subscript"/>
        </w:rPr>
        <w:t>2</w:t>
      </w:r>
      <w:r w:rsidR="00863EFB">
        <w:t xml:space="preserve"> was investigated by </w:t>
      </w:r>
      <w:r w:rsidR="00863EFB">
        <w:rPr>
          <w:noProof/>
        </w:rPr>
        <w:t>Feng et al. (2015)</w:t>
      </w:r>
      <w:r w:rsidR="00863EFB">
        <w:t xml:space="preserve"> or Liang et al. (2016) w</w:t>
      </w:r>
      <w:r>
        <w:t xml:space="preserve">as </w:t>
      </w:r>
      <w:r w:rsidR="00863EFB">
        <w:t xml:space="preserve">dominated by plants with symbiotic </w:t>
      </w:r>
      <w:r w:rsidR="00863EFB" w:rsidRPr="00EF5568">
        <w:t>N</w:t>
      </w:r>
      <w:r w:rsidR="00863EFB" w:rsidRPr="00EF5568">
        <w:rPr>
          <w:vertAlign w:val="subscript"/>
        </w:rPr>
        <w:t>2</w:t>
      </w:r>
      <w:r w:rsidR="00863EFB">
        <w:t xml:space="preserve"> fixation. Therefore, enhanced BNF cannot explain why PNL has </w:t>
      </w:r>
      <w:r w:rsidR="00EE0FDB">
        <w:t xml:space="preserve">not </w:t>
      </w:r>
      <w:r w:rsidR="00863EFB">
        <w:t xml:space="preserve">developed after decade long exposure to elevated </w:t>
      </w:r>
      <w:r w:rsidR="00863EFB" w:rsidRPr="004D556C">
        <w:t>CO</w:t>
      </w:r>
      <w:r w:rsidR="00863EFB" w:rsidRPr="004D556C">
        <w:rPr>
          <w:vertAlign w:val="subscript"/>
        </w:rPr>
        <w:t>2</w:t>
      </w:r>
      <w:r w:rsidR="00863EFB">
        <w:t xml:space="preserve"> in the majority of these FACE experiments. The mechanism</w:t>
      </w:r>
      <w:r w:rsidR="00111184">
        <w:t xml:space="preserve"> and conclusion</w:t>
      </w:r>
      <w:r w:rsidR="00863EFB">
        <w:t xml:space="preserve"> presented by Liang et al. (2016; Fig. 5) represents a special case, limited to ecosystems dominated by plants with symbiotic </w:t>
      </w:r>
      <w:r w:rsidR="00863EFB" w:rsidRPr="00EF5568">
        <w:t>N</w:t>
      </w:r>
      <w:r w:rsidR="00863EFB" w:rsidRPr="00EF5568">
        <w:rPr>
          <w:vertAlign w:val="subscript"/>
        </w:rPr>
        <w:t>2</w:t>
      </w:r>
      <w:r w:rsidR="00863EFB">
        <w:t xml:space="preserve"> fixation.</w:t>
      </w:r>
    </w:p>
    <w:p w:rsidR="00863EFB" w:rsidRDefault="00863EFB" w:rsidP="00E16802">
      <w:pPr>
        <w:spacing w:before="120"/>
        <w:jc w:val="both"/>
      </w:pPr>
      <w:r>
        <w:t>Wh</w:t>
      </w:r>
      <w:r w:rsidR="003D0A6B">
        <w:t>at</w:t>
      </w:r>
      <w:r>
        <w:t xml:space="preserve"> mechanism </w:t>
      </w:r>
      <w:r w:rsidR="003D0A6B">
        <w:t xml:space="preserve">can </w:t>
      </w:r>
      <w:r>
        <w:t>then potentially prevent the development of or alleviate a PNL in the majority of terrestrial ecosystems?</w:t>
      </w:r>
      <w:r w:rsidR="000C3211">
        <w:t xml:space="preserve"> </w:t>
      </w:r>
      <w:r w:rsidR="00EE0FDB">
        <w:t>An increase</w:t>
      </w:r>
      <w:r w:rsidR="000C3211">
        <w:t xml:space="preserve"> in the N use efficiency (NUE) of plants could prevent the development of a PNL</w:t>
      </w:r>
      <w:r w:rsidR="00EE0FDB">
        <w:t>, which</w:t>
      </w:r>
      <w:r w:rsidR="000C3211">
        <w:t xml:space="preserve"> has indeed been observed </w:t>
      </w:r>
      <w:r w:rsidR="00EE0FDB">
        <w:t xml:space="preserve">in grassland species </w:t>
      </w:r>
      <w:r w:rsidR="000C3211">
        <w:t xml:space="preserve">(Lee et al., 2011). However, among four forest FACE experiment, only in a poplar plantation NUE was increased under elevated </w:t>
      </w:r>
      <w:r w:rsidR="000C3211" w:rsidRPr="004D556C">
        <w:t>CO</w:t>
      </w:r>
      <w:r w:rsidR="000C3211" w:rsidRPr="004D556C">
        <w:rPr>
          <w:vertAlign w:val="subscript"/>
        </w:rPr>
        <w:t>2</w:t>
      </w:r>
      <w:r w:rsidR="000C3211">
        <w:t>, while NUE was unchanged in the remaining three experiments (Finzi et al., 2007). Therefore, it is unclear if this mechanism is widespread in alleviating PNL.</w:t>
      </w:r>
      <w:r>
        <w:t xml:space="preserve"> Liang et al. (2016) identified N mineralization, the transfer of organically bound N to mineral N, as a major source for plant available N. However, they failed </w:t>
      </w:r>
      <w:r w:rsidR="003D0A6B">
        <w:t xml:space="preserve">to </w:t>
      </w:r>
      <w:r>
        <w:lastRenderedPageBreak/>
        <w:t>recogniz</w:t>
      </w:r>
      <w:r w:rsidR="003D0A6B">
        <w:t>e</w:t>
      </w:r>
      <w:r>
        <w:t xml:space="preserve"> that </w:t>
      </w:r>
      <w:r w:rsidR="002F31B5">
        <w:t>ne</w:t>
      </w:r>
      <w:r w:rsidR="001C36D1">
        <w:t>t</w:t>
      </w:r>
      <w:r w:rsidR="002F31B5">
        <w:t xml:space="preserve"> </w:t>
      </w:r>
      <w:r>
        <w:t xml:space="preserve">N mineralization, </w:t>
      </w:r>
      <w:r w:rsidR="006817A2">
        <w:t xml:space="preserve">which was </w:t>
      </w:r>
      <w:r>
        <w:t xml:space="preserve">the measure they looked at, does not represent the actual N mineralization </w:t>
      </w:r>
      <w:r w:rsidR="00184F39">
        <w:t xml:space="preserve">dynamics </w:t>
      </w:r>
      <w:r>
        <w:t xml:space="preserve">in soils </w:t>
      </w:r>
      <w:r>
        <w:rPr>
          <w:noProof/>
        </w:rPr>
        <w:t>(Davidson et al., 1992)</w:t>
      </w:r>
      <w:r>
        <w:t xml:space="preserve"> and, hence, </w:t>
      </w:r>
      <w:r w:rsidR="002F31B5">
        <w:t xml:space="preserve">not the </w:t>
      </w:r>
      <w:r>
        <w:t>supply capacity for plant available N. The actual soil N mineralization is</w:t>
      </w:r>
      <w:r w:rsidR="006817A2">
        <w:t xml:space="preserve"> </w:t>
      </w:r>
      <w:r>
        <w:t xml:space="preserve">measurable as the gross N mineralization rate </w:t>
      </w:r>
      <w:r>
        <w:rPr>
          <w:noProof/>
        </w:rPr>
        <w:t>(Davidson et al., 1992)</w:t>
      </w:r>
      <w:r>
        <w:t xml:space="preserve">. We recently reviewed how gross N transformations are altered in ecosystems exposed to elevated </w:t>
      </w:r>
      <w:r w:rsidRPr="004D556C">
        <w:t>CO</w:t>
      </w:r>
      <w:r w:rsidRPr="004D556C">
        <w:rPr>
          <w:vertAlign w:val="subscript"/>
        </w:rPr>
        <w:t>2</w:t>
      </w:r>
      <w:r>
        <w:t xml:space="preserve"> (Rütting and Andresen, 2015). Although we found that overall</w:t>
      </w:r>
      <w:r w:rsidR="001C36D1">
        <w:t>,</w:t>
      </w:r>
      <w:r>
        <w:t xml:space="preserve"> </w:t>
      </w:r>
      <w:r w:rsidR="00D53FCD">
        <w:t>across all available data</w:t>
      </w:r>
      <w:r w:rsidR="006817A2">
        <w:t xml:space="preserve">, the </w:t>
      </w:r>
      <w:r>
        <w:t xml:space="preserve">gross N mineralization was not affected by elevated </w:t>
      </w:r>
      <w:r w:rsidRPr="004D556C">
        <w:t>CO</w:t>
      </w:r>
      <w:r w:rsidRPr="004D556C">
        <w:rPr>
          <w:vertAlign w:val="subscript"/>
        </w:rPr>
        <w:t>2</w:t>
      </w:r>
      <w:r>
        <w:t xml:space="preserve">, rates were significantly increased in N limited ecosystems (Rütting and Andresen, 2015). The importance of that finding lies in the fact that only N limited ecosystems are expected to be at risk </w:t>
      </w:r>
      <w:r w:rsidR="00D53FCD">
        <w:t>of</w:t>
      </w:r>
      <w:r>
        <w:t xml:space="preserve"> developing a PNL </w:t>
      </w:r>
      <w:r>
        <w:rPr>
          <w:noProof/>
        </w:rPr>
        <w:t>(Hu et al., 2006)</w:t>
      </w:r>
      <w:r>
        <w:t xml:space="preserve">. In fact, ecosystems dominated by plants with symbiotic </w:t>
      </w:r>
      <w:r w:rsidRPr="00EF5568">
        <w:t>N</w:t>
      </w:r>
      <w:r w:rsidRPr="00EF5568">
        <w:rPr>
          <w:vertAlign w:val="subscript"/>
        </w:rPr>
        <w:t>2</w:t>
      </w:r>
      <w:r>
        <w:t xml:space="preserve"> fixation are </w:t>
      </w:r>
      <w:r w:rsidR="00D53FCD">
        <w:t xml:space="preserve">not N limited and </w:t>
      </w:r>
      <w:r>
        <w:t xml:space="preserve">not prone to develop a PNL </w:t>
      </w:r>
      <w:r>
        <w:rPr>
          <w:noProof/>
        </w:rPr>
        <w:t>(Hu et al., 2006)</w:t>
      </w:r>
      <w:r>
        <w:t>. Therefore, in N limited ecosystems</w:t>
      </w:r>
      <w:r w:rsidR="00D53FCD">
        <w:t xml:space="preserve"> (</w:t>
      </w:r>
      <w:r>
        <w:t>prone to PNL</w:t>
      </w:r>
      <w:r w:rsidR="00D53FCD">
        <w:t>)</w:t>
      </w:r>
      <w:r>
        <w:t>,</w:t>
      </w:r>
      <w:r w:rsidR="00D53FCD">
        <w:t xml:space="preserve"> the observed </w:t>
      </w:r>
      <w:r>
        <w:t xml:space="preserve">increased gross N mineralization </w:t>
      </w:r>
      <w:r w:rsidR="00CF3095">
        <w:t xml:space="preserve">directly </w:t>
      </w:r>
      <w:r>
        <w:t>provides enhanced supply of plant available N, which can alleviate the PNL or prevent its development</w:t>
      </w:r>
      <w:r w:rsidR="00CF3095">
        <w:t xml:space="preserve"> under e</w:t>
      </w:r>
      <w:r w:rsidR="00184F39">
        <w:t xml:space="preserve">levated </w:t>
      </w:r>
      <w:r w:rsidR="00CF3095">
        <w:t>CO</w:t>
      </w:r>
      <w:r w:rsidR="00CF3095" w:rsidRPr="007922B7">
        <w:rPr>
          <w:vertAlign w:val="subscript"/>
        </w:rPr>
        <w:t>2</w:t>
      </w:r>
      <w:r>
        <w:t>.</w:t>
      </w:r>
    </w:p>
    <w:p w:rsidR="00917480" w:rsidRDefault="00863EFB" w:rsidP="00EE36DD">
      <w:pPr>
        <w:spacing w:before="120"/>
        <w:jc w:val="both"/>
      </w:pPr>
      <w:r w:rsidRPr="00E639C3">
        <w:t xml:space="preserve">A question is </w:t>
      </w:r>
      <w:r w:rsidR="000475D3">
        <w:t xml:space="preserve">which of the different processes can provide a </w:t>
      </w:r>
      <w:r w:rsidRPr="00E639C3">
        <w:t xml:space="preserve">large enough </w:t>
      </w:r>
      <w:r w:rsidR="000475D3">
        <w:t xml:space="preserve">quantity of N </w:t>
      </w:r>
      <w:r w:rsidRPr="00E639C3">
        <w:t xml:space="preserve">to sustain </w:t>
      </w:r>
      <w:r w:rsidR="000475D3">
        <w:t xml:space="preserve">the </w:t>
      </w:r>
      <w:r w:rsidRPr="00E639C3">
        <w:t>increased N demand under elevated CO</w:t>
      </w:r>
      <w:r w:rsidRPr="00E639C3">
        <w:rPr>
          <w:vertAlign w:val="subscript"/>
        </w:rPr>
        <w:t>2</w:t>
      </w:r>
      <w:r w:rsidRPr="000475D3">
        <w:t xml:space="preserve">. </w:t>
      </w:r>
      <w:r w:rsidR="000475D3" w:rsidRPr="000475D3">
        <w:t xml:space="preserve">Based on literature data, it is possible to quantify additional N supply </w:t>
      </w:r>
      <w:r w:rsidR="00917480" w:rsidRPr="000475D3">
        <w:t xml:space="preserve">by </w:t>
      </w:r>
      <w:r w:rsidR="00184F39">
        <w:t xml:space="preserve">the </w:t>
      </w:r>
      <w:r w:rsidR="00917480" w:rsidRPr="000475D3">
        <w:t>different processes, N</w:t>
      </w:r>
      <w:r w:rsidR="00917480" w:rsidRPr="000475D3">
        <w:rPr>
          <w:vertAlign w:val="subscript"/>
        </w:rPr>
        <w:t>2</w:t>
      </w:r>
      <w:r w:rsidR="00917480" w:rsidRPr="000475D3">
        <w:t xml:space="preserve"> fixation, N mineralization and </w:t>
      </w:r>
      <w:r w:rsidR="00184F39" w:rsidRPr="0041625A">
        <w:rPr>
          <w:iCs/>
        </w:rPr>
        <w:t>NO</w:t>
      </w:r>
      <w:r w:rsidR="00184F39" w:rsidRPr="0041625A">
        <w:rPr>
          <w:iCs/>
          <w:vertAlign w:val="subscript"/>
        </w:rPr>
        <w:t>3</w:t>
      </w:r>
      <w:r w:rsidR="00184F39" w:rsidRPr="0041625A">
        <w:rPr>
          <w:iCs/>
          <w:vertAlign w:val="superscript"/>
        </w:rPr>
        <w:t>-</w:t>
      </w:r>
      <w:r w:rsidR="00184F39">
        <w:t xml:space="preserve"> </w:t>
      </w:r>
      <w:r w:rsidR="00917480" w:rsidRPr="000475D3">
        <w:t>leaching</w:t>
      </w:r>
      <w:r w:rsidR="0039314E">
        <w:t>,</w:t>
      </w:r>
      <w:r w:rsidR="000475D3" w:rsidRPr="000475D3">
        <w:t xml:space="preserve"> under elevated CO</w:t>
      </w:r>
      <w:r w:rsidR="000475D3" w:rsidRPr="000475D3">
        <w:rPr>
          <w:vertAlign w:val="subscript"/>
        </w:rPr>
        <w:t>2</w:t>
      </w:r>
      <w:r w:rsidR="00917480" w:rsidRPr="000475D3">
        <w:t>.</w:t>
      </w:r>
      <w:r w:rsidR="000475D3" w:rsidRPr="000475D3">
        <w:t xml:space="preserve"> </w:t>
      </w:r>
      <w:r w:rsidR="00917480" w:rsidRPr="0039314E">
        <w:t>Annual N</w:t>
      </w:r>
      <w:r w:rsidR="00917480" w:rsidRPr="0039314E">
        <w:rPr>
          <w:vertAlign w:val="subscript"/>
        </w:rPr>
        <w:t>2</w:t>
      </w:r>
      <w:r w:rsidR="00917480" w:rsidRPr="0039314E">
        <w:t xml:space="preserve"> fixation rate</w:t>
      </w:r>
      <w:r w:rsidR="000475D3" w:rsidRPr="0039314E">
        <w:t>s</w:t>
      </w:r>
      <w:r w:rsidR="00917480" w:rsidRPr="0039314E">
        <w:t xml:space="preserve"> in natural ecosystems, not dominated by symbiotic N</w:t>
      </w:r>
      <w:r w:rsidR="00917480" w:rsidRPr="0039314E">
        <w:rPr>
          <w:vertAlign w:val="subscript"/>
        </w:rPr>
        <w:t>2</w:t>
      </w:r>
      <w:r w:rsidR="00917480" w:rsidRPr="0039314E">
        <w:t xml:space="preserve"> fixing plants, are in the range 1.5 – 25 kg N ha</w:t>
      </w:r>
      <w:r w:rsidR="00917480" w:rsidRPr="0039314E">
        <w:rPr>
          <w:vertAlign w:val="superscript"/>
        </w:rPr>
        <w:t>-1</w:t>
      </w:r>
      <w:r w:rsidR="00917480" w:rsidRPr="0039314E">
        <w:t xml:space="preserve"> yr</w:t>
      </w:r>
      <w:r w:rsidR="00917480" w:rsidRPr="0039314E">
        <w:rPr>
          <w:vertAlign w:val="superscript"/>
        </w:rPr>
        <w:t>-1</w:t>
      </w:r>
      <w:r w:rsidR="00917480" w:rsidRPr="0039314E">
        <w:t xml:space="preserve"> </w:t>
      </w:r>
      <w:r w:rsidR="00917480" w:rsidRPr="0039314E">
        <w:rPr>
          <w:noProof/>
        </w:rPr>
        <w:t>(Cleveland et al., 1999)</w:t>
      </w:r>
      <w:r w:rsidR="00917480" w:rsidRPr="0039314E">
        <w:t>. Assuming an increase by 14 % under elevated CO</w:t>
      </w:r>
      <w:r w:rsidR="00917480" w:rsidRPr="0039314E">
        <w:rPr>
          <w:vertAlign w:val="subscript"/>
        </w:rPr>
        <w:t>2</w:t>
      </w:r>
      <w:r w:rsidR="00917480" w:rsidRPr="0039314E">
        <w:t xml:space="preserve"> (as calculated for non-N</w:t>
      </w:r>
      <w:r w:rsidR="00917480" w:rsidRPr="0039314E">
        <w:rPr>
          <w:vertAlign w:val="subscript"/>
        </w:rPr>
        <w:t>2</w:t>
      </w:r>
      <w:r w:rsidR="00917480" w:rsidRPr="0039314E">
        <w:t xml:space="preserve"> fixing plant communities</w:t>
      </w:r>
      <w:r w:rsidR="000475D3" w:rsidRPr="0039314E">
        <w:t>, Fig. 1</w:t>
      </w:r>
      <w:r w:rsidR="00917480" w:rsidRPr="0039314E">
        <w:t>), an additional amount of 0.2 – 3.5 kg N ha</w:t>
      </w:r>
      <w:r w:rsidR="00917480" w:rsidRPr="0039314E">
        <w:rPr>
          <w:vertAlign w:val="superscript"/>
        </w:rPr>
        <w:t>-1</w:t>
      </w:r>
      <w:r w:rsidR="00917480" w:rsidRPr="0039314E">
        <w:t xml:space="preserve"> yr</w:t>
      </w:r>
      <w:r w:rsidR="00917480" w:rsidRPr="0039314E">
        <w:rPr>
          <w:vertAlign w:val="superscript"/>
        </w:rPr>
        <w:t>-1</w:t>
      </w:r>
      <w:r w:rsidR="00917480" w:rsidRPr="0039314E">
        <w:t xml:space="preserve"> is provided. Annual </w:t>
      </w:r>
      <w:r w:rsidR="0039314E" w:rsidRPr="0041625A">
        <w:rPr>
          <w:iCs/>
        </w:rPr>
        <w:t>NO</w:t>
      </w:r>
      <w:r w:rsidR="0039314E" w:rsidRPr="0041625A">
        <w:rPr>
          <w:iCs/>
          <w:vertAlign w:val="subscript"/>
        </w:rPr>
        <w:t>3</w:t>
      </w:r>
      <w:r w:rsidR="0039314E" w:rsidRPr="0041625A">
        <w:rPr>
          <w:iCs/>
          <w:vertAlign w:val="superscript"/>
        </w:rPr>
        <w:t>-</w:t>
      </w:r>
      <w:r w:rsidR="0039314E">
        <w:t xml:space="preserve"> </w:t>
      </w:r>
      <w:r w:rsidR="00917480" w:rsidRPr="0039314E">
        <w:t>leaching losses from temperate watershed are on average 0.3 kg N ha</w:t>
      </w:r>
      <w:r w:rsidR="00917480" w:rsidRPr="0039314E">
        <w:rPr>
          <w:vertAlign w:val="superscript"/>
        </w:rPr>
        <w:t>-1</w:t>
      </w:r>
      <w:r w:rsidR="00917480" w:rsidRPr="0039314E">
        <w:t xml:space="preserve"> yr</w:t>
      </w:r>
      <w:r w:rsidR="00917480" w:rsidRPr="0039314E">
        <w:rPr>
          <w:vertAlign w:val="superscript"/>
        </w:rPr>
        <w:t>-1</w:t>
      </w:r>
      <w:r w:rsidR="00917480" w:rsidRPr="0039314E">
        <w:t xml:space="preserve"> </w:t>
      </w:r>
      <w:r w:rsidR="00917480" w:rsidRPr="0039314E">
        <w:rPr>
          <w:noProof/>
        </w:rPr>
        <w:t>(</w:t>
      </w:r>
      <w:r w:rsidR="0039314E">
        <w:rPr>
          <w:noProof/>
        </w:rPr>
        <w:t xml:space="preserve">range 0.02 – 2.3 </w:t>
      </w:r>
      <w:r w:rsidR="0039314E" w:rsidRPr="0039314E">
        <w:t>kg N ha</w:t>
      </w:r>
      <w:r w:rsidR="0039314E" w:rsidRPr="0039314E">
        <w:rPr>
          <w:vertAlign w:val="superscript"/>
        </w:rPr>
        <w:t>-1</w:t>
      </w:r>
      <w:r w:rsidR="0039314E" w:rsidRPr="0039314E">
        <w:t xml:space="preserve"> yr</w:t>
      </w:r>
      <w:r w:rsidR="0039314E" w:rsidRPr="0039314E">
        <w:rPr>
          <w:vertAlign w:val="superscript"/>
        </w:rPr>
        <w:t>-1</w:t>
      </w:r>
      <w:r w:rsidR="0039314E">
        <w:rPr>
          <w:noProof/>
        </w:rPr>
        <w:t xml:space="preserve">; </w:t>
      </w:r>
      <w:r w:rsidR="00917480" w:rsidRPr="0039314E">
        <w:rPr>
          <w:noProof/>
        </w:rPr>
        <w:t>Brookshire et al., 2012)</w:t>
      </w:r>
      <w:r w:rsidR="0039314E">
        <w:rPr>
          <w:noProof/>
        </w:rPr>
        <w:t xml:space="preserve">. </w:t>
      </w:r>
      <w:r w:rsidR="0039314E" w:rsidRPr="0039314E">
        <w:t>Liang et al</w:t>
      </w:r>
      <w:r w:rsidR="0039314E">
        <w:t xml:space="preserve">. (2016) reported a decrease in </w:t>
      </w:r>
      <w:r w:rsidR="0039314E" w:rsidRPr="0041625A">
        <w:rPr>
          <w:iCs/>
        </w:rPr>
        <w:t>NO</w:t>
      </w:r>
      <w:r w:rsidR="0039314E" w:rsidRPr="0041625A">
        <w:rPr>
          <w:iCs/>
          <w:vertAlign w:val="subscript"/>
        </w:rPr>
        <w:t>3</w:t>
      </w:r>
      <w:r w:rsidR="0039314E" w:rsidRPr="0041625A">
        <w:rPr>
          <w:iCs/>
          <w:vertAlign w:val="superscript"/>
        </w:rPr>
        <w:t>-</w:t>
      </w:r>
      <w:r w:rsidR="0039314E">
        <w:t xml:space="preserve"> leaching by </w:t>
      </w:r>
      <w:r w:rsidR="00917480" w:rsidRPr="0039314E">
        <w:t>42 % under elevated CO</w:t>
      </w:r>
      <w:r w:rsidR="00917480" w:rsidRPr="0039314E">
        <w:rPr>
          <w:vertAlign w:val="subscript"/>
        </w:rPr>
        <w:t>2</w:t>
      </w:r>
      <w:r w:rsidR="00917480" w:rsidRPr="0039314E">
        <w:t xml:space="preserve">. </w:t>
      </w:r>
      <w:r w:rsidR="0039314E">
        <w:t xml:space="preserve">However, when considering N limited ecosystem in their data-set (N=4), </w:t>
      </w:r>
      <w:r w:rsidR="0039314E" w:rsidRPr="0041625A">
        <w:rPr>
          <w:iCs/>
        </w:rPr>
        <w:t>NO</w:t>
      </w:r>
      <w:r w:rsidR="0039314E" w:rsidRPr="0041625A">
        <w:rPr>
          <w:iCs/>
          <w:vertAlign w:val="subscript"/>
        </w:rPr>
        <w:t>3</w:t>
      </w:r>
      <w:r w:rsidR="0039314E" w:rsidRPr="0041625A">
        <w:rPr>
          <w:iCs/>
          <w:vertAlign w:val="superscript"/>
        </w:rPr>
        <w:t>-</w:t>
      </w:r>
      <w:r w:rsidR="0039314E">
        <w:t xml:space="preserve"> leaching decreased on average by 21 %. Therefore, reduced </w:t>
      </w:r>
      <w:r w:rsidR="0039314E" w:rsidRPr="0041625A">
        <w:rPr>
          <w:iCs/>
        </w:rPr>
        <w:t>NO</w:t>
      </w:r>
      <w:r w:rsidR="0039314E" w:rsidRPr="0041625A">
        <w:rPr>
          <w:iCs/>
          <w:vertAlign w:val="subscript"/>
        </w:rPr>
        <w:t>3</w:t>
      </w:r>
      <w:r w:rsidR="0039314E" w:rsidRPr="0041625A">
        <w:rPr>
          <w:iCs/>
          <w:vertAlign w:val="superscript"/>
        </w:rPr>
        <w:t>-</w:t>
      </w:r>
      <w:r w:rsidR="0039314E">
        <w:t xml:space="preserve"> leaching un</w:t>
      </w:r>
      <w:r w:rsidR="0025302E">
        <w:t>d</w:t>
      </w:r>
      <w:r w:rsidR="0039314E">
        <w:t xml:space="preserve">er elevated </w:t>
      </w:r>
      <w:r w:rsidR="0039314E" w:rsidRPr="004D556C">
        <w:t>CO</w:t>
      </w:r>
      <w:r w:rsidR="0039314E" w:rsidRPr="004D556C">
        <w:rPr>
          <w:vertAlign w:val="subscript"/>
        </w:rPr>
        <w:t>2</w:t>
      </w:r>
      <w:r w:rsidR="0039314E">
        <w:t xml:space="preserve"> is in the range of 0.004 to 0.48 </w:t>
      </w:r>
      <w:r w:rsidR="0039314E" w:rsidRPr="0039314E">
        <w:t>kg N ha</w:t>
      </w:r>
      <w:r w:rsidR="0039314E" w:rsidRPr="0039314E">
        <w:rPr>
          <w:vertAlign w:val="superscript"/>
        </w:rPr>
        <w:t>-1</w:t>
      </w:r>
      <w:r w:rsidR="0039314E" w:rsidRPr="0039314E">
        <w:t xml:space="preserve"> yr</w:t>
      </w:r>
      <w:r w:rsidR="0039314E" w:rsidRPr="0039314E">
        <w:rPr>
          <w:vertAlign w:val="superscript"/>
        </w:rPr>
        <w:t>-1</w:t>
      </w:r>
      <w:r w:rsidR="0039314E" w:rsidRPr="0039314E">
        <w:t xml:space="preserve"> i</w:t>
      </w:r>
      <w:r w:rsidR="0039314E">
        <w:t xml:space="preserve">n N-limited temperate ecosystems. </w:t>
      </w:r>
      <w:r w:rsidR="00917480" w:rsidRPr="0039314E">
        <w:t xml:space="preserve">That means that the two processes identified by Liang et al. </w:t>
      </w:r>
      <w:r w:rsidR="00EE0FDB">
        <w:t xml:space="preserve">(2016) </w:t>
      </w:r>
      <w:r w:rsidR="00917480" w:rsidRPr="0039314E">
        <w:t xml:space="preserve">combined lead to an increase in N availability of </w:t>
      </w:r>
      <w:r w:rsidR="0039314E">
        <w:t>at most 4</w:t>
      </w:r>
      <w:r w:rsidR="00917480" w:rsidRPr="0039314E">
        <w:t xml:space="preserve"> kg N ha</w:t>
      </w:r>
      <w:r w:rsidR="00917480" w:rsidRPr="0039314E">
        <w:rPr>
          <w:vertAlign w:val="superscript"/>
        </w:rPr>
        <w:t>-1</w:t>
      </w:r>
      <w:r w:rsidR="00917480" w:rsidRPr="0039314E">
        <w:t xml:space="preserve"> yr</w:t>
      </w:r>
      <w:r w:rsidR="00917480" w:rsidRPr="0039314E">
        <w:rPr>
          <w:vertAlign w:val="superscript"/>
        </w:rPr>
        <w:t>-1</w:t>
      </w:r>
      <w:r w:rsidR="00917480" w:rsidRPr="0039314E">
        <w:t xml:space="preserve">. </w:t>
      </w:r>
      <w:r w:rsidR="00D6593E">
        <w:t>Only few studies have reported a</w:t>
      </w:r>
      <w:r w:rsidR="00D6593E" w:rsidRPr="00BA6433">
        <w:t xml:space="preserve">nnual gross </w:t>
      </w:r>
      <w:r w:rsidR="00D6593E">
        <w:t>N mineralization rates</w:t>
      </w:r>
      <w:r w:rsidR="00EE36DD">
        <w:t xml:space="preserve">, which </w:t>
      </w:r>
      <w:r w:rsidR="00D6593E" w:rsidRPr="00BA6433">
        <w:t xml:space="preserve">range between 120 and </w:t>
      </w:r>
      <w:r w:rsidR="00D6593E">
        <w:t>450</w:t>
      </w:r>
      <w:r w:rsidR="00D6593E" w:rsidRPr="00BA6433">
        <w:t xml:space="preserve"> kg N ha</w:t>
      </w:r>
      <w:r w:rsidR="00D6593E" w:rsidRPr="00BA6433">
        <w:rPr>
          <w:vertAlign w:val="superscript"/>
        </w:rPr>
        <w:t>-1</w:t>
      </w:r>
      <w:r w:rsidR="00D6593E" w:rsidRPr="00BA6433">
        <w:t xml:space="preserve"> yr</w:t>
      </w:r>
      <w:r w:rsidR="00D6593E" w:rsidRPr="00BA6433">
        <w:rPr>
          <w:vertAlign w:val="superscript"/>
        </w:rPr>
        <w:t>-1</w:t>
      </w:r>
      <w:r w:rsidR="00D6593E" w:rsidRPr="00BA6433">
        <w:t xml:space="preserve"> </w:t>
      </w:r>
      <w:r w:rsidR="00D6593E">
        <w:t xml:space="preserve">for temperate grasslands </w:t>
      </w:r>
      <w:r w:rsidR="00D6593E">
        <w:rPr>
          <w:noProof/>
        </w:rPr>
        <w:t>(Jamieson et al., 1999; Wang et al., 2016)</w:t>
      </w:r>
      <w:r w:rsidR="00D6593E">
        <w:t xml:space="preserve"> and 800 – </w:t>
      </w:r>
      <w:r w:rsidR="00D6593E" w:rsidRPr="00BA6433">
        <w:t>1000</w:t>
      </w:r>
      <w:r w:rsidR="00D6593E">
        <w:t xml:space="preserve"> </w:t>
      </w:r>
      <w:r w:rsidR="00D6593E" w:rsidRPr="00BA6433">
        <w:t>kg N ha</w:t>
      </w:r>
      <w:r w:rsidR="00D6593E" w:rsidRPr="00BA6433">
        <w:rPr>
          <w:vertAlign w:val="superscript"/>
        </w:rPr>
        <w:t>-1</w:t>
      </w:r>
      <w:r w:rsidR="00D6593E" w:rsidRPr="00BA6433">
        <w:t xml:space="preserve"> yr</w:t>
      </w:r>
      <w:r w:rsidR="00D6593E" w:rsidRPr="00BA6433">
        <w:rPr>
          <w:vertAlign w:val="superscript"/>
        </w:rPr>
        <w:t>-1</w:t>
      </w:r>
      <w:r w:rsidR="00D6593E" w:rsidRPr="00BA6433">
        <w:t xml:space="preserve"> </w:t>
      </w:r>
      <w:r w:rsidR="00D6593E">
        <w:t xml:space="preserve">in a Norway spruce forest </w:t>
      </w:r>
      <w:r w:rsidR="00D6593E">
        <w:rPr>
          <w:noProof/>
        </w:rPr>
        <w:t>(Rosenkranz et al., 2010)</w:t>
      </w:r>
      <w:r w:rsidR="00D6593E">
        <w:t xml:space="preserve">. Assuming a 14 % increase in this rate </w:t>
      </w:r>
      <w:r w:rsidR="00184F39">
        <w:t xml:space="preserve">under elevated </w:t>
      </w:r>
      <w:r w:rsidR="00184F39" w:rsidRPr="004D556C">
        <w:t>CO</w:t>
      </w:r>
      <w:r w:rsidR="00184F39" w:rsidRPr="004D556C">
        <w:rPr>
          <w:vertAlign w:val="subscript"/>
        </w:rPr>
        <w:t>2</w:t>
      </w:r>
      <w:r w:rsidR="00184F39">
        <w:t xml:space="preserve"> </w:t>
      </w:r>
      <w:r w:rsidR="00D6593E">
        <w:rPr>
          <w:noProof/>
        </w:rPr>
        <w:t>(as found for N limited ecosystems by Rütting and Andresen, 2015)</w:t>
      </w:r>
      <w:r w:rsidR="00D6593E">
        <w:t xml:space="preserve">, an additional amount of plant available N of 17 to 140 </w:t>
      </w:r>
      <w:r w:rsidR="00D6593E" w:rsidRPr="00BA6433">
        <w:t>kg N ha</w:t>
      </w:r>
      <w:r w:rsidR="00D6593E" w:rsidRPr="00BA6433">
        <w:rPr>
          <w:vertAlign w:val="superscript"/>
        </w:rPr>
        <w:t>-1</w:t>
      </w:r>
      <w:r w:rsidR="00D6593E" w:rsidRPr="00BA6433">
        <w:t xml:space="preserve"> yr</w:t>
      </w:r>
      <w:r w:rsidR="00D6593E" w:rsidRPr="00BA6433">
        <w:rPr>
          <w:vertAlign w:val="superscript"/>
        </w:rPr>
        <w:t>-1</w:t>
      </w:r>
      <w:r w:rsidR="00D6593E">
        <w:t xml:space="preserve"> will be produced annually. </w:t>
      </w:r>
      <w:r w:rsidR="00EE36DD">
        <w:t xml:space="preserve">In other words, </w:t>
      </w:r>
      <w:r w:rsidR="00917480">
        <w:t xml:space="preserve">a small change in a large flux (i.e. gross N mineralization) </w:t>
      </w:r>
      <w:r w:rsidR="00917480">
        <w:lastRenderedPageBreak/>
        <w:t xml:space="preserve">might be more important than a large change in a small flux </w:t>
      </w:r>
      <w:r w:rsidR="00EE0FDB">
        <w:t xml:space="preserve">(i.e. </w:t>
      </w:r>
      <w:r w:rsidR="00EE0FDB" w:rsidRPr="00EF5568">
        <w:t>N</w:t>
      </w:r>
      <w:r w:rsidR="00EE0FDB" w:rsidRPr="00EF5568">
        <w:rPr>
          <w:vertAlign w:val="subscript"/>
        </w:rPr>
        <w:t>2</w:t>
      </w:r>
      <w:r w:rsidR="00EE0FDB">
        <w:t xml:space="preserve"> fixation and </w:t>
      </w:r>
      <w:r w:rsidR="00EE0FDB" w:rsidRPr="0041625A">
        <w:rPr>
          <w:iCs/>
        </w:rPr>
        <w:t>NO</w:t>
      </w:r>
      <w:r w:rsidR="00EE0FDB" w:rsidRPr="0041625A">
        <w:rPr>
          <w:iCs/>
          <w:vertAlign w:val="subscript"/>
        </w:rPr>
        <w:t>3</w:t>
      </w:r>
      <w:r w:rsidR="00EE0FDB" w:rsidRPr="0041625A">
        <w:rPr>
          <w:iCs/>
          <w:vertAlign w:val="superscript"/>
        </w:rPr>
        <w:t>-</w:t>
      </w:r>
      <w:r w:rsidR="00EE0FDB">
        <w:t xml:space="preserve"> leaching) </w:t>
      </w:r>
      <w:r w:rsidR="00917480">
        <w:t xml:space="preserve">to alleviate a PNL. </w:t>
      </w:r>
    </w:p>
    <w:p w:rsidR="00EE36DD" w:rsidRDefault="00EE36DD" w:rsidP="00E639C3">
      <w:pPr>
        <w:spacing w:before="120"/>
        <w:jc w:val="both"/>
      </w:pPr>
    </w:p>
    <w:p w:rsidR="00863EFB" w:rsidRPr="00E639C3" w:rsidRDefault="00D50559" w:rsidP="00E639C3">
      <w:pPr>
        <w:spacing w:before="120"/>
        <w:jc w:val="both"/>
      </w:pPr>
      <w:r>
        <w:t>Unresolved</w:t>
      </w:r>
      <w:r w:rsidR="00863EFB" w:rsidRPr="00E639C3">
        <w:t xml:space="preserve"> is for how long an increase in </w:t>
      </w:r>
      <w:r w:rsidR="00EE36DD">
        <w:t xml:space="preserve">gross </w:t>
      </w:r>
      <w:r w:rsidR="00863EFB" w:rsidRPr="00E639C3">
        <w:t>N mineralization can satisfy the increased N demand under elevated CO</w:t>
      </w:r>
      <w:r w:rsidR="00863EFB" w:rsidRPr="00E639C3">
        <w:rPr>
          <w:vertAlign w:val="subscript"/>
        </w:rPr>
        <w:t>2</w:t>
      </w:r>
      <w:r w:rsidR="00863EFB" w:rsidRPr="00E639C3">
        <w:t xml:space="preserve">. </w:t>
      </w:r>
      <w:r w:rsidR="00184F39">
        <w:t>B</w:t>
      </w:r>
      <w:r w:rsidR="00863970" w:rsidRPr="00E639C3">
        <w:t xml:space="preserve">y </w:t>
      </w:r>
      <w:r w:rsidR="00863EFB" w:rsidRPr="00E639C3">
        <w:t>this mechanism no N loss from the ecosystem</w:t>
      </w:r>
      <w:r w:rsidR="00184F39">
        <w:t xml:space="preserve"> occurs</w:t>
      </w:r>
      <w:r w:rsidR="00863EFB" w:rsidRPr="00E639C3">
        <w:t xml:space="preserve">, </w:t>
      </w:r>
      <w:r w:rsidR="00184F39">
        <w:t xml:space="preserve">but </w:t>
      </w:r>
      <w:r w:rsidR="00C13490">
        <w:t>the</w:t>
      </w:r>
      <w:r w:rsidR="00863EFB" w:rsidRPr="00E639C3">
        <w:t xml:space="preserve"> redistribution of N from soil to vegetation could in the long-term diminish the pool of </w:t>
      </w:r>
      <w:r w:rsidR="004461C1">
        <w:t xml:space="preserve">N in </w:t>
      </w:r>
      <w:r w:rsidR="00863EFB" w:rsidRPr="00E639C3">
        <w:t xml:space="preserve">mineralizable organic matter, despite recycling via litter production. A recent multi-model study found that in several models the “mining” for N via enhanced mineralization was limited, due to changes in soil organic matter quality, and might only temporarily alleviate a PNL </w:t>
      </w:r>
      <w:r w:rsidR="00863EFB" w:rsidRPr="00E639C3">
        <w:rPr>
          <w:noProof/>
        </w:rPr>
        <w:t>(Zaehle et al., 2014)</w:t>
      </w:r>
      <w:r w:rsidR="00863EFB" w:rsidRPr="00E639C3">
        <w:t>. On the other hand, a second study using the same set of models found an increased N mineralization rates due to larger soil organic matter N, which decreased N limitation (Walker et al., 2015).</w:t>
      </w:r>
      <w:r w:rsidR="00863EFB">
        <w:t xml:space="preserve"> Experimental testing of the </w:t>
      </w:r>
      <w:r w:rsidR="009A1814">
        <w:t xml:space="preserve">alternative </w:t>
      </w:r>
      <w:r w:rsidR="00863EFB">
        <w:t xml:space="preserve">model predictions is needed, which requires access to long term experiments with elevated </w:t>
      </w:r>
      <w:r w:rsidR="00863EFB" w:rsidRPr="004D556C">
        <w:t>CO</w:t>
      </w:r>
      <w:r w:rsidR="00863EFB" w:rsidRPr="004D556C">
        <w:rPr>
          <w:vertAlign w:val="subscript"/>
        </w:rPr>
        <w:t>2</w:t>
      </w:r>
      <w:r w:rsidR="00863EFB">
        <w:t>.</w:t>
      </w:r>
    </w:p>
    <w:p w:rsidR="00863EFB" w:rsidRDefault="00863EFB" w:rsidP="00DC6A60">
      <w:pPr>
        <w:spacing w:before="120"/>
        <w:jc w:val="both"/>
      </w:pPr>
      <w:r w:rsidRPr="00462123">
        <w:t>In conclusion, several processes can contribute to prevent the development of a PNL under elevated CO</w:t>
      </w:r>
      <w:r w:rsidRPr="00462123">
        <w:rPr>
          <w:vertAlign w:val="subscript"/>
        </w:rPr>
        <w:t>2</w:t>
      </w:r>
      <w:r w:rsidRPr="00462123">
        <w:t>. However, due to the limited spatial extend of plant communities dominated by symbiotic N</w:t>
      </w:r>
      <w:r w:rsidRPr="00462123">
        <w:rPr>
          <w:vertAlign w:val="subscript"/>
        </w:rPr>
        <w:t>2</w:t>
      </w:r>
      <w:r w:rsidRPr="00462123">
        <w:t xml:space="preserve"> fixation, the stimulation in BNF suggested by Liang et al. (2016) is a special case only, which is in agreement with the conceptual model by Rütting and Andresen (2015). </w:t>
      </w:r>
      <w:r w:rsidR="00184F39">
        <w:t>I</w:t>
      </w:r>
      <w:r w:rsidRPr="00462123">
        <w:t xml:space="preserve">n the majority of terrestrial ecosystems, with limited </w:t>
      </w:r>
      <w:r w:rsidR="0093407B">
        <w:t xml:space="preserve">or no </w:t>
      </w:r>
      <w:r w:rsidRPr="00462123">
        <w:t xml:space="preserve">BNF, enhanced carbon inputs to the soil </w:t>
      </w:r>
      <w:r w:rsidR="00184F39">
        <w:t xml:space="preserve">under elevated </w:t>
      </w:r>
      <w:r w:rsidR="00184F39" w:rsidRPr="004D556C">
        <w:t>CO</w:t>
      </w:r>
      <w:r w:rsidR="00184F39" w:rsidRPr="004D556C">
        <w:rPr>
          <w:vertAlign w:val="subscript"/>
        </w:rPr>
        <w:t>2</w:t>
      </w:r>
      <w:r w:rsidR="00184F39">
        <w:t xml:space="preserve"> </w:t>
      </w:r>
      <w:r w:rsidRPr="00462123">
        <w:t xml:space="preserve">stimulate in a priming-like mechanism </w:t>
      </w:r>
      <w:r w:rsidR="0093407B">
        <w:t xml:space="preserve">the </w:t>
      </w:r>
      <w:r w:rsidRPr="00462123">
        <w:t xml:space="preserve">gross N mineralization rate </w:t>
      </w:r>
      <w:r w:rsidRPr="00462123">
        <w:rPr>
          <w:noProof/>
        </w:rPr>
        <w:t xml:space="preserve">(Dijkstra et al., 2013; </w:t>
      </w:r>
      <w:r w:rsidRPr="00462123">
        <w:t xml:space="preserve">Rütting and Andresen, 2015), </w:t>
      </w:r>
      <w:r w:rsidRPr="00462123">
        <w:rPr>
          <w:noProof/>
        </w:rPr>
        <w:t xml:space="preserve">which can </w:t>
      </w:r>
      <w:r w:rsidR="0093407B">
        <w:rPr>
          <w:noProof/>
        </w:rPr>
        <w:t>explain the ab</w:t>
      </w:r>
      <w:r w:rsidR="00AF763C">
        <w:rPr>
          <w:noProof/>
        </w:rPr>
        <w:t>s</w:t>
      </w:r>
      <w:r w:rsidR="0093407B">
        <w:rPr>
          <w:noProof/>
        </w:rPr>
        <w:t>en</w:t>
      </w:r>
      <w:r w:rsidR="00863970">
        <w:rPr>
          <w:noProof/>
        </w:rPr>
        <w:t>ce</w:t>
      </w:r>
      <w:r w:rsidRPr="00462123">
        <w:t xml:space="preserve"> </w:t>
      </w:r>
      <w:r w:rsidR="00AF763C">
        <w:t xml:space="preserve">of the </w:t>
      </w:r>
      <w:r w:rsidRPr="00462123">
        <w:t xml:space="preserve">development of </w:t>
      </w:r>
      <w:r w:rsidR="00AF763C">
        <w:t xml:space="preserve">a </w:t>
      </w:r>
      <w:r w:rsidRPr="00462123">
        <w:t>PNL in N limited ecosystems</w:t>
      </w:r>
      <w:r w:rsidR="00284B35">
        <w:t xml:space="preserve"> (Fig. 2)</w:t>
      </w:r>
      <w:r w:rsidRPr="00462123">
        <w:t xml:space="preserve">. </w:t>
      </w:r>
      <w:r>
        <w:t xml:space="preserve">Further studies </w:t>
      </w:r>
      <w:r w:rsidR="0093407B">
        <w:t xml:space="preserve">are </w:t>
      </w:r>
      <w:r>
        <w:t>need</w:t>
      </w:r>
      <w:r w:rsidR="0093407B">
        <w:t>ed</w:t>
      </w:r>
      <w:r>
        <w:t xml:space="preserve"> to </w:t>
      </w:r>
      <w:r w:rsidR="007E66A4">
        <w:t xml:space="preserve">determine </w:t>
      </w:r>
      <w:r>
        <w:t>if this stimulation will be maintained in the long-term.</w:t>
      </w:r>
    </w:p>
    <w:p w:rsidR="00BA4895" w:rsidRDefault="00BA4895" w:rsidP="00DC6A60">
      <w:pPr>
        <w:spacing w:before="120"/>
        <w:jc w:val="both"/>
      </w:pPr>
    </w:p>
    <w:p w:rsidR="00C708E8" w:rsidRDefault="00C708E8" w:rsidP="00DC6A60">
      <w:pPr>
        <w:spacing w:before="120"/>
        <w:jc w:val="both"/>
      </w:pPr>
      <w:r>
        <w:t>Acknowledgment:</w:t>
      </w:r>
    </w:p>
    <w:p w:rsidR="00C708E8" w:rsidRPr="001554A2" w:rsidRDefault="001554A2" w:rsidP="00522BC1">
      <w:pPr>
        <w:spacing w:before="120"/>
        <w:jc w:val="both"/>
      </w:pPr>
      <w:r w:rsidRPr="001554A2">
        <w:t xml:space="preserve">This </w:t>
      </w:r>
      <w:r w:rsidR="00522BC1">
        <w:t>paper</w:t>
      </w:r>
      <w:r w:rsidRPr="001554A2">
        <w:t xml:space="preserve"> is </w:t>
      </w:r>
      <w:r w:rsidR="00522BC1">
        <w:t xml:space="preserve">a contribution to </w:t>
      </w:r>
      <w:r w:rsidRPr="001554A2">
        <w:t>the strategic research area “Biodiversity and Ecosystem</w:t>
      </w:r>
      <w:r>
        <w:t xml:space="preserve"> services in a Changing Climate – BECC” (</w:t>
      </w:r>
      <w:hyperlink r:id="rId8" w:history="1">
        <w:r w:rsidRPr="000D44BC">
          <w:rPr>
            <w:rStyle w:val="Hyperlink"/>
          </w:rPr>
          <w:t>www.becc.lu.se/</w:t>
        </w:r>
      </w:hyperlink>
      <w:r w:rsidRPr="001554A2">
        <w:t>).</w:t>
      </w:r>
      <w:r>
        <w:t xml:space="preserve"> </w:t>
      </w:r>
      <w:r w:rsidR="00522BC1">
        <w:t>The author declares no conflict of interest</w:t>
      </w:r>
      <w:r w:rsidR="001C36D1">
        <w:t>s</w:t>
      </w:r>
      <w:r w:rsidR="00522BC1">
        <w:t>.</w:t>
      </w:r>
    </w:p>
    <w:p w:rsidR="00C708E8" w:rsidRDefault="00C708E8" w:rsidP="00DC6A60">
      <w:pPr>
        <w:spacing w:before="120"/>
        <w:jc w:val="both"/>
      </w:pPr>
    </w:p>
    <w:p w:rsidR="00BA4895" w:rsidRPr="00195F58" w:rsidRDefault="00BA4895" w:rsidP="00BA4895">
      <w:pPr>
        <w:spacing w:before="120"/>
        <w:jc w:val="both"/>
        <w:rPr>
          <w:b/>
        </w:rPr>
      </w:pPr>
      <w:r w:rsidRPr="00195F58">
        <w:rPr>
          <w:b/>
        </w:rPr>
        <w:t>References</w:t>
      </w:r>
    </w:p>
    <w:p w:rsidR="00BA4895" w:rsidRPr="0089641F" w:rsidRDefault="00BA4895" w:rsidP="00BA4895">
      <w:pPr>
        <w:pStyle w:val="EndNoteBibliography"/>
        <w:ind w:left="284" w:hanging="284"/>
      </w:pPr>
      <w:r w:rsidRPr="0089641F">
        <w:t>Batterman, S. A., Hedin, L. O., van Breugel, M., Ransijn, J., Craven, D. J., and Hall, J. S.: Key role of symbiotic dinitrogen fixation in tropical forest secondary succession, Nature, 502, 224-227, 2013.</w:t>
      </w:r>
    </w:p>
    <w:p w:rsidR="00EE36DD" w:rsidRPr="00C31C45" w:rsidRDefault="00EE36DD" w:rsidP="00EE36DD">
      <w:pPr>
        <w:pStyle w:val="EndNoteBibliography"/>
        <w:ind w:left="284" w:hanging="284"/>
      </w:pPr>
      <w:r w:rsidRPr="00C31C45">
        <w:lastRenderedPageBreak/>
        <w:t>Brookshire, E. N. J., Gerber, S., Menge, D. N. L., and Hedin, L. O.: Large losses of inorganic nitrogen from tropical rainforests suggest a lack of nitrogen limitation, Ecology Letters, 15, 9-16, 2012.</w:t>
      </w:r>
    </w:p>
    <w:p w:rsidR="00BA4895" w:rsidRPr="0089641F" w:rsidRDefault="00BA4895" w:rsidP="00BA4895">
      <w:pPr>
        <w:pStyle w:val="EndNoteBibliography"/>
        <w:ind w:left="284" w:hanging="284"/>
      </w:pPr>
      <w:r w:rsidRPr="0089641F">
        <w:t>Cleveland, C. C., Townsend, A. R., Schimel, D. S., Fisher, H., Howarth, R. W., Hedin, L. O., Perakis, S. S., Latty, E. F., von Fischer, J. C., Elserod, A., and Wasson, M. F.: Global patterns of terrestrial biological nitrogen (</w:t>
      </w:r>
      <w:r w:rsidRPr="00EF5568">
        <w:t>N</w:t>
      </w:r>
      <w:r w:rsidRPr="00EF5568">
        <w:rPr>
          <w:vertAlign w:val="subscript"/>
        </w:rPr>
        <w:t>2</w:t>
      </w:r>
      <w:r w:rsidRPr="0089641F">
        <w:t>) fixation in natural ecosystems, Global Biogeochemical Cycles, 13, 623-645, 1999.</w:t>
      </w:r>
    </w:p>
    <w:p w:rsidR="00BA4895" w:rsidRPr="0089641F" w:rsidRDefault="00BA4895" w:rsidP="00BA4895">
      <w:pPr>
        <w:pStyle w:val="EndNoteBibliography"/>
        <w:ind w:left="284" w:hanging="284"/>
      </w:pPr>
      <w:r w:rsidRPr="0089641F">
        <w:t>Davidson, E. A., Hart, S. C., and Firestone, M. K.: Internal cycling of nitrate in soils of a mature coniferous forest, Ecology, 73, 1148-1156, 1992.</w:t>
      </w:r>
    </w:p>
    <w:p w:rsidR="00BA4895" w:rsidRPr="00874909" w:rsidRDefault="00BA4895" w:rsidP="00BA4895">
      <w:pPr>
        <w:pStyle w:val="EndNoteBibliography"/>
        <w:ind w:left="284" w:hanging="284"/>
      </w:pPr>
      <w:r w:rsidRPr="00874909">
        <w:t>Dijkstra, F. A., Carrillo, Y., Pendall, E., and Morgan, J. A.: Rhizosphere priming: a nutrient perspective, Frontiers in Microbiology, 4, articel 216, 2013.</w:t>
      </w:r>
    </w:p>
    <w:p w:rsidR="00BA4895" w:rsidRPr="0089641F" w:rsidRDefault="00BA4895" w:rsidP="00BA4895">
      <w:pPr>
        <w:pStyle w:val="EndNoteBibliography"/>
        <w:ind w:left="284" w:hanging="284"/>
      </w:pPr>
      <w:r w:rsidRPr="0089641F">
        <w:t>Evans, H. J., and Barber, L. E.: Biological nitrogen fixation for food and fiber production, Science, 197, 332-339, 1977.</w:t>
      </w:r>
    </w:p>
    <w:p w:rsidR="00BA4895" w:rsidRPr="0089641F" w:rsidRDefault="00BA4895" w:rsidP="00BA4895">
      <w:pPr>
        <w:pStyle w:val="EndNoteBibliography"/>
        <w:ind w:left="284" w:hanging="284"/>
      </w:pPr>
      <w:r w:rsidRPr="0089641F">
        <w:t>Feng, Z., Rütting, T., Pleijel, H., Wallin, G., Reich, P. B., Kammann, C. I., Newton, P. C. D., Kobayashi, K., Luo, Y., and Uddling, J.: Constraints to nitrogen acquisition of terrestrial plants under elevated CO</w:t>
      </w:r>
      <w:r w:rsidRPr="0089641F">
        <w:rPr>
          <w:vertAlign w:val="subscript"/>
        </w:rPr>
        <w:t>2</w:t>
      </w:r>
      <w:r w:rsidRPr="0089641F">
        <w:t>, Global Change Biology, 21, 3152-3168, 2015.</w:t>
      </w:r>
    </w:p>
    <w:p w:rsidR="00EE36DD" w:rsidRDefault="00EE36DD" w:rsidP="00EE36DD">
      <w:pPr>
        <w:spacing w:line="276" w:lineRule="auto"/>
        <w:ind w:left="284" w:hanging="284"/>
        <w:jc w:val="both"/>
        <w:rPr>
          <w:rFonts w:eastAsia="Times New Roman"/>
          <w:iCs/>
          <w:lang w:eastAsia="en-GB"/>
        </w:rPr>
      </w:pPr>
      <w:r w:rsidRPr="009C64D8">
        <w:rPr>
          <w:rFonts w:eastAsia="Times New Roman"/>
          <w:lang w:eastAsia="en-GB"/>
        </w:rPr>
        <w:t>Finzi</w:t>
      </w:r>
      <w:r>
        <w:rPr>
          <w:rFonts w:eastAsia="Times New Roman"/>
          <w:lang w:eastAsia="en-GB"/>
        </w:rPr>
        <w:t>,</w:t>
      </w:r>
      <w:r w:rsidRPr="009C64D8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A. C., </w:t>
      </w:r>
      <w:r w:rsidRPr="009C64D8">
        <w:rPr>
          <w:rFonts w:eastAsia="Times New Roman"/>
          <w:lang w:eastAsia="en-GB"/>
        </w:rPr>
        <w:t>Norby</w:t>
      </w:r>
      <w:r>
        <w:rPr>
          <w:rFonts w:eastAsia="Times New Roman"/>
          <w:lang w:eastAsia="en-GB"/>
        </w:rPr>
        <w:t xml:space="preserve">, </w:t>
      </w:r>
      <w:r w:rsidRPr="009C64D8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R. J., </w:t>
      </w:r>
      <w:r w:rsidRPr="009C64D8">
        <w:rPr>
          <w:rFonts w:eastAsia="Times New Roman"/>
          <w:lang w:eastAsia="en-GB"/>
        </w:rPr>
        <w:t>Calfapietra</w:t>
      </w:r>
      <w:r>
        <w:rPr>
          <w:rFonts w:eastAsia="Times New Roman"/>
          <w:lang w:eastAsia="en-GB"/>
        </w:rPr>
        <w:t>,</w:t>
      </w:r>
      <w:r w:rsidRPr="009C64D8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C., </w:t>
      </w:r>
      <w:r w:rsidRPr="009C64D8">
        <w:rPr>
          <w:rFonts w:eastAsia="Times New Roman"/>
          <w:lang w:eastAsia="en-GB"/>
        </w:rPr>
        <w:t>Gallet-Budynek</w:t>
      </w:r>
      <w:r>
        <w:rPr>
          <w:rFonts w:eastAsia="Times New Roman"/>
          <w:lang w:eastAsia="en-GB"/>
        </w:rPr>
        <w:t>, A.,</w:t>
      </w:r>
      <w:r w:rsidRPr="009C64D8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 xml:space="preserve"> </w:t>
      </w:r>
      <w:r w:rsidRPr="009C64D8">
        <w:rPr>
          <w:rFonts w:eastAsia="Times New Roman"/>
          <w:lang w:eastAsia="en-GB"/>
        </w:rPr>
        <w:t>Gielen</w:t>
      </w:r>
      <w:r>
        <w:rPr>
          <w:rFonts w:eastAsia="Times New Roman"/>
          <w:lang w:eastAsia="en-GB"/>
        </w:rPr>
        <w:t>, B.</w:t>
      </w:r>
      <w:r w:rsidRPr="009C64D8">
        <w:rPr>
          <w:rFonts w:eastAsia="Times New Roman"/>
          <w:lang w:eastAsia="en-GB"/>
        </w:rPr>
        <w:t xml:space="preserve">, </w:t>
      </w:r>
      <w:r>
        <w:rPr>
          <w:rFonts w:eastAsia="Times New Roman"/>
          <w:lang w:eastAsia="en-GB"/>
        </w:rPr>
        <w:t xml:space="preserve"> </w:t>
      </w:r>
      <w:r w:rsidRPr="009C64D8">
        <w:rPr>
          <w:rFonts w:eastAsia="Times New Roman"/>
          <w:lang w:eastAsia="en-GB"/>
        </w:rPr>
        <w:t>Holmes</w:t>
      </w:r>
      <w:r>
        <w:rPr>
          <w:rFonts w:eastAsia="Times New Roman"/>
          <w:lang w:eastAsia="en-GB"/>
        </w:rPr>
        <w:t>, W. E.</w:t>
      </w:r>
      <w:r w:rsidRPr="009C64D8">
        <w:rPr>
          <w:rFonts w:eastAsia="Times New Roman"/>
          <w:lang w:eastAsia="en-GB"/>
        </w:rPr>
        <w:t>, Hoosbeek</w:t>
      </w:r>
      <w:r>
        <w:rPr>
          <w:rFonts w:eastAsia="Times New Roman"/>
          <w:lang w:eastAsia="en-GB"/>
        </w:rPr>
        <w:t>, M. R.</w:t>
      </w:r>
      <w:r w:rsidRPr="009C64D8">
        <w:rPr>
          <w:rFonts w:eastAsia="Times New Roman"/>
          <w:lang w:eastAsia="en-GB"/>
        </w:rPr>
        <w:t>, Iversen</w:t>
      </w:r>
      <w:r>
        <w:rPr>
          <w:rFonts w:eastAsia="Times New Roman"/>
          <w:lang w:eastAsia="en-GB"/>
        </w:rPr>
        <w:t>, C. M.</w:t>
      </w:r>
      <w:r w:rsidRPr="009C64D8">
        <w:rPr>
          <w:rFonts w:eastAsia="Times New Roman"/>
          <w:lang w:eastAsia="en-GB"/>
        </w:rPr>
        <w:t>, Jackson</w:t>
      </w:r>
      <w:r>
        <w:rPr>
          <w:rFonts w:eastAsia="Times New Roman"/>
          <w:lang w:eastAsia="en-GB"/>
        </w:rPr>
        <w:t>, R. B.</w:t>
      </w:r>
      <w:r w:rsidRPr="009C64D8">
        <w:rPr>
          <w:rFonts w:eastAsia="Times New Roman"/>
          <w:lang w:eastAsia="en-GB"/>
        </w:rPr>
        <w:t>, Kubiske</w:t>
      </w:r>
      <w:r>
        <w:rPr>
          <w:rFonts w:eastAsia="Times New Roman"/>
          <w:lang w:eastAsia="en-GB"/>
        </w:rPr>
        <w:t>, M. E.</w:t>
      </w:r>
      <w:r w:rsidRPr="009C64D8">
        <w:rPr>
          <w:rFonts w:eastAsia="Times New Roman"/>
          <w:lang w:eastAsia="en-GB"/>
        </w:rPr>
        <w:t>, Ledford</w:t>
      </w:r>
      <w:r>
        <w:rPr>
          <w:rFonts w:eastAsia="Times New Roman"/>
          <w:lang w:eastAsia="en-GB"/>
        </w:rPr>
        <w:t>, J.</w:t>
      </w:r>
      <w:r w:rsidRPr="009C64D8">
        <w:rPr>
          <w:rFonts w:eastAsia="Times New Roman"/>
          <w:lang w:eastAsia="en-GB"/>
        </w:rPr>
        <w:t>, Liberloo</w:t>
      </w:r>
      <w:r>
        <w:rPr>
          <w:rFonts w:eastAsia="Times New Roman"/>
          <w:lang w:eastAsia="en-GB"/>
        </w:rPr>
        <w:t>, M.</w:t>
      </w:r>
      <w:r w:rsidRPr="009C64D8">
        <w:rPr>
          <w:rFonts w:eastAsia="Times New Roman"/>
          <w:lang w:eastAsia="en-GB"/>
        </w:rPr>
        <w:t>, Oren</w:t>
      </w:r>
      <w:r>
        <w:rPr>
          <w:rFonts w:eastAsia="Times New Roman"/>
          <w:lang w:eastAsia="en-GB"/>
        </w:rPr>
        <w:t>, R.</w:t>
      </w:r>
      <w:r w:rsidRPr="009C64D8">
        <w:rPr>
          <w:rFonts w:eastAsia="Times New Roman"/>
          <w:lang w:eastAsia="en-GB"/>
        </w:rPr>
        <w:t>, Polle</w:t>
      </w:r>
      <w:r>
        <w:rPr>
          <w:rFonts w:eastAsia="Times New Roman"/>
          <w:lang w:eastAsia="en-GB"/>
        </w:rPr>
        <w:t>, A.</w:t>
      </w:r>
      <w:r w:rsidRPr="009C64D8">
        <w:rPr>
          <w:rFonts w:eastAsia="Times New Roman"/>
          <w:lang w:eastAsia="en-GB"/>
        </w:rPr>
        <w:t>, Pritchard</w:t>
      </w:r>
      <w:r>
        <w:rPr>
          <w:rFonts w:eastAsia="Times New Roman"/>
          <w:lang w:eastAsia="en-GB"/>
        </w:rPr>
        <w:t>, S.</w:t>
      </w:r>
      <w:r w:rsidRPr="009C64D8">
        <w:rPr>
          <w:rFonts w:eastAsia="Times New Roman"/>
          <w:lang w:eastAsia="en-GB"/>
        </w:rPr>
        <w:t>, Zak</w:t>
      </w:r>
      <w:r>
        <w:rPr>
          <w:rFonts w:eastAsia="Times New Roman"/>
          <w:lang w:eastAsia="en-GB"/>
        </w:rPr>
        <w:t>, D. R.</w:t>
      </w:r>
      <w:r w:rsidRPr="009C64D8">
        <w:rPr>
          <w:rFonts w:eastAsia="Times New Roman"/>
          <w:lang w:eastAsia="en-GB"/>
        </w:rPr>
        <w:t>, Schlesinger</w:t>
      </w:r>
      <w:r>
        <w:rPr>
          <w:rFonts w:eastAsia="Times New Roman"/>
          <w:lang w:eastAsia="en-GB"/>
        </w:rPr>
        <w:t>, W. H.</w:t>
      </w:r>
      <w:r w:rsidRPr="009C64D8">
        <w:rPr>
          <w:rFonts w:eastAsia="Times New Roman"/>
          <w:lang w:eastAsia="en-GB"/>
        </w:rPr>
        <w:t xml:space="preserve">, </w:t>
      </w:r>
      <w:r>
        <w:rPr>
          <w:rFonts w:eastAsia="Times New Roman"/>
          <w:lang w:eastAsia="en-GB"/>
        </w:rPr>
        <w:t xml:space="preserve">and </w:t>
      </w:r>
      <w:r w:rsidRPr="009C64D8">
        <w:rPr>
          <w:rFonts w:eastAsia="Times New Roman"/>
          <w:lang w:eastAsia="en-GB"/>
        </w:rPr>
        <w:t>Ceulemans</w:t>
      </w:r>
      <w:r>
        <w:rPr>
          <w:rFonts w:eastAsia="Times New Roman"/>
          <w:lang w:eastAsia="en-GB"/>
        </w:rPr>
        <w:t>, R.: I</w:t>
      </w:r>
      <w:r w:rsidRPr="009C64D8">
        <w:rPr>
          <w:rFonts w:eastAsia="Times New Roman"/>
          <w:lang w:eastAsia="en-GB"/>
        </w:rPr>
        <w:t>ncreases in nitrogen uptake rather than nitrogen-use efficiency support higher rates of temperate forest productivity under elevated CO</w:t>
      </w:r>
      <w:r w:rsidRPr="009C64D8">
        <w:rPr>
          <w:rFonts w:eastAsia="Times New Roman"/>
          <w:vertAlign w:val="subscript"/>
          <w:lang w:eastAsia="en-GB"/>
        </w:rPr>
        <w:t>2</w:t>
      </w:r>
      <w:r>
        <w:rPr>
          <w:rFonts w:eastAsia="Times New Roman"/>
          <w:lang w:eastAsia="en-GB"/>
        </w:rPr>
        <w:t xml:space="preserve">, </w:t>
      </w:r>
      <w:r w:rsidRPr="009C64D8">
        <w:rPr>
          <w:rFonts w:eastAsia="Times New Roman"/>
          <w:iCs/>
          <w:lang w:eastAsia="en-GB"/>
        </w:rPr>
        <w:t>PNAS</w:t>
      </w:r>
      <w:r>
        <w:rPr>
          <w:rFonts w:eastAsia="Times New Roman"/>
          <w:iCs/>
          <w:lang w:eastAsia="en-GB"/>
        </w:rPr>
        <w:t>,</w:t>
      </w:r>
      <w:r w:rsidRPr="009C64D8">
        <w:rPr>
          <w:rFonts w:eastAsia="Times New Roman"/>
          <w:iCs/>
          <w:lang w:eastAsia="en-GB"/>
        </w:rPr>
        <w:t xml:space="preserve"> 104</w:t>
      </w:r>
      <w:r>
        <w:rPr>
          <w:rFonts w:eastAsia="Times New Roman"/>
          <w:iCs/>
          <w:lang w:eastAsia="en-GB"/>
        </w:rPr>
        <w:t>,</w:t>
      </w:r>
      <w:r w:rsidRPr="009C64D8">
        <w:rPr>
          <w:rFonts w:eastAsia="Times New Roman"/>
          <w:iCs/>
          <w:lang w:eastAsia="en-GB"/>
        </w:rPr>
        <w:t xml:space="preserve"> 14014-14019</w:t>
      </w:r>
      <w:r>
        <w:rPr>
          <w:rFonts w:eastAsia="Times New Roman"/>
          <w:iCs/>
          <w:lang w:eastAsia="en-GB"/>
        </w:rPr>
        <w:t>, 2007.</w:t>
      </w:r>
    </w:p>
    <w:p w:rsidR="00BD6080" w:rsidRDefault="00BD6080" w:rsidP="00BD6080">
      <w:pPr>
        <w:pStyle w:val="EndNoteBibliography"/>
        <w:ind w:left="284" w:hanging="284"/>
      </w:pPr>
      <w:r>
        <w:t>Hoque, M. M., Inubushi, K., Miura, S., Kobayashi, K., Kim, H. Y., Okada, M., and Yabashi, S.: Biological dinitrogen fixation and soil microbial biomass carbon as influenced by free-air carbon dioxide enrichment (FACE) at three levels of nitrogen fertilization in a paddy field, Biology and Fertilty of Soils, 34, 453-459, 2001.</w:t>
      </w:r>
    </w:p>
    <w:p w:rsidR="00BA4895" w:rsidRPr="0089641F" w:rsidRDefault="00BA4895" w:rsidP="00BA4895">
      <w:pPr>
        <w:pStyle w:val="EndNoteBibliography"/>
        <w:ind w:left="284" w:hanging="284"/>
      </w:pPr>
      <w:r w:rsidRPr="0089641F">
        <w:t>Hu, S. J., Tu, C., Chen, X., and Gruver, J. B.: Progressive N limitation of plant response to elevated CO</w:t>
      </w:r>
      <w:r w:rsidRPr="0089641F">
        <w:rPr>
          <w:vertAlign w:val="subscript"/>
        </w:rPr>
        <w:t>2</w:t>
      </w:r>
      <w:r w:rsidRPr="0089641F">
        <w:t>: a microbiological perspective, Plant and Soil, 289, 47-58, 2006.</w:t>
      </w:r>
    </w:p>
    <w:p w:rsidR="00BA4895" w:rsidRPr="0089641F" w:rsidRDefault="00BA4895" w:rsidP="00BA4895">
      <w:pPr>
        <w:pStyle w:val="EndNoteBibliography"/>
        <w:ind w:left="284" w:hanging="284"/>
      </w:pPr>
      <w:r w:rsidRPr="0089641F">
        <w:t>Hungate, B. A., Dukes, J. S., Shaw, M. R., Luo, Y., and Field, C. B.: Nitrogen and climate change, Science, 302, 1512-1513, 2003.</w:t>
      </w:r>
    </w:p>
    <w:p w:rsidR="00EE36DD" w:rsidRPr="0093686C" w:rsidRDefault="00EE36DD" w:rsidP="00EE36DD">
      <w:pPr>
        <w:pStyle w:val="EndNoteBibliography"/>
        <w:ind w:left="284" w:hanging="284"/>
      </w:pPr>
      <w:r w:rsidRPr="0093686C">
        <w:t>Jamieson, N., Monaghan, R., and Barraclough, D.: Seasonal trends of gross N mineralization in natural calcareous grassland, Global Change Biology, 5, 423-431, 1999.</w:t>
      </w:r>
    </w:p>
    <w:p w:rsidR="00EE36DD" w:rsidRPr="0081080F" w:rsidRDefault="00EE36DD" w:rsidP="00EE36DD">
      <w:pPr>
        <w:spacing w:line="276" w:lineRule="auto"/>
        <w:ind w:left="284" w:hanging="284"/>
        <w:jc w:val="both"/>
      </w:pPr>
      <w:r>
        <w:rPr>
          <w:rFonts w:eastAsia="Times New Roman"/>
          <w:iCs/>
          <w:lang w:eastAsia="en-GB"/>
        </w:rPr>
        <w:t>Lee</w:t>
      </w:r>
      <w:r w:rsidRPr="00482181">
        <w:rPr>
          <w:rFonts w:eastAsia="Times New Roman"/>
          <w:iCs/>
          <w:lang w:eastAsia="en-GB"/>
        </w:rPr>
        <w:t>, T. D., B</w:t>
      </w:r>
      <w:r>
        <w:rPr>
          <w:rFonts w:eastAsia="Times New Roman"/>
          <w:iCs/>
          <w:lang w:eastAsia="en-GB"/>
        </w:rPr>
        <w:t>arrott,</w:t>
      </w:r>
      <w:r w:rsidRPr="00482181">
        <w:rPr>
          <w:rFonts w:eastAsia="Times New Roman"/>
          <w:iCs/>
          <w:lang w:eastAsia="en-GB"/>
        </w:rPr>
        <w:t xml:space="preserve"> S. H.</w:t>
      </w:r>
      <w:r>
        <w:rPr>
          <w:rFonts w:eastAsia="Times New Roman"/>
          <w:iCs/>
          <w:lang w:eastAsia="en-GB"/>
        </w:rPr>
        <w:t>,</w:t>
      </w:r>
      <w:r w:rsidRPr="00482181">
        <w:rPr>
          <w:rFonts w:eastAsia="Times New Roman"/>
          <w:iCs/>
          <w:lang w:eastAsia="en-GB"/>
        </w:rPr>
        <w:t xml:space="preserve"> and R</w:t>
      </w:r>
      <w:r>
        <w:rPr>
          <w:rFonts w:eastAsia="Times New Roman"/>
          <w:iCs/>
          <w:lang w:eastAsia="en-GB"/>
        </w:rPr>
        <w:t>eich</w:t>
      </w:r>
      <w:r w:rsidRPr="00482181">
        <w:rPr>
          <w:rFonts w:eastAsia="Times New Roman"/>
          <w:iCs/>
          <w:lang w:eastAsia="en-GB"/>
        </w:rPr>
        <w:t>, P. B.</w:t>
      </w:r>
      <w:r>
        <w:rPr>
          <w:rFonts w:eastAsia="Times New Roman"/>
          <w:iCs/>
          <w:lang w:eastAsia="en-GB"/>
        </w:rPr>
        <w:t>:</w:t>
      </w:r>
      <w:r w:rsidRPr="00482181">
        <w:rPr>
          <w:rFonts w:eastAsia="Times New Roman"/>
          <w:iCs/>
          <w:lang w:eastAsia="en-GB"/>
        </w:rPr>
        <w:t xml:space="preserve"> Photosynthetic responses of 13 grassland species across 11 years of free-air CO</w:t>
      </w:r>
      <w:r w:rsidRPr="00482181">
        <w:rPr>
          <w:rFonts w:eastAsia="Times New Roman"/>
          <w:iCs/>
          <w:vertAlign w:val="subscript"/>
          <w:lang w:eastAsia="en-GB"/>
        </w:rPr>
        <w:t>2</w:t>
      </w:r>
      <w:r>
        <w:rPr>
          <w:rFonts w:eastAsia="Times New Roman"/>
          <w:iCs/>
          <w:lang w:eastAsia="en-GB"/>
        </w:rPr>
        <w:t xml:space="preserve"> </w:t>
      </w:r>
      <w:r w:rsidRPr="00482181">
        <w:rPr>
          <w:rFonts w:eastAsia="Times New Roman"/>
          <w:iCs/>
          <w:lang w:eastAsia="en-GB"/>
        </w:rPr>
        <w:t>enrichment is modest, consistent and independent of N supply</w:t>
      </w:r>
      <w:r>
        <w:rPr>
          <w:rFonts w:eastAsia="Times New Roman"/>
          <w:iCs/>
          <w:lang w:eastAsia="en-GB"/>
        </w:rPr>
        <w:t>,</w:t>
      </w:r>
      <w:r w:rsidRPr="00482181">
        <w:rPr>
          <w:rFonts w:eastAsia="Times New Roman"/>
          <w:iCs/>
          <w:lang w:eastAsia="en-GB"/>
        </w:rPr>
        <w:t xml:space="preserve"> Global Change Biology, 17</w:t>
      </w:r>
      <w:r>
        <w:rPr>
          <w:rFonts w:eastAsia="Times New Roman"/>
          <w:iCs/>
          <w:lang w:eastAsia="en-GB"/>
        </w:rPr>
        <w:t>,</w:t>
      </w:r>
      <w:r w:rsidRPr="00482181">
        <w:rPr>
          <w:rFonts w:eastAsia="Times New Roman"/>
          <w:iCs/>
          <w:lang w:eastAsia="en-GB"/>
        </w:rPr>
        <w:t xml:space="preserve"> 2893</w:t>
      </w:r>
      <w:r>
        <w:rPr>
          <w:rFonts w:eastAsia="Times New Roman"/>
          <w:iCs/>
          <w:lang w:eastAsia="en-GB"/>
        </w:rPr>
        <w:t>-</w:t>
      </w:r>
      <w:r w:rsidRPr="00482181">
        <w:rPr>
          <w:rFonts w:eastAsia="Times New Roman"/>
          <w:iCs/>
          <w:lang w:eastAsia="en-GB"/>
        </w:rPr>
        <w:t>2904</w:t>
      </w:r>
      <w:r>
        <w:rPr>
          <w:rFonts w:eastAsia="Times New Roman"/>
          <w:iCs/>
          <w:lang w:eastAsia="en-GB"/>
        </w:rPr>
        <w:t>, 2011</w:t>
      </w:r>
      <w:r w:rsidRPr="00482181">
        <w:rPr>
          <w:rFonts w:eastAsia="Times New Roman"/>
          <w:iCs/>
          <w:lang w:eastAsia="en-GB"/>
        </w:rPr>
        <w:t>.</w:t>
      </w:r>
    </w:p>
    <w:p w:rsidR="007574FF" w:rsidRPr="007574FF" w:rsidRDefault="00BA4895" w:rsidP="00BA4895">
      <w:pPr>
        <w:spacing w:line="240" w:lineRule="auto"/>
        <w:ind w:left="284" w:hanging="284"/>
        <w:jc w:val="both"/>
      </w:pPr>
      <w:r w:rsidRPr="007574FF">
        <w:t>Liang</w:t>
      </w:r>
      <w:r w:rsidR="007574FF" w:rsidRPr="007574FF">
        <w:t>, J.,</w:t>
      </w:r>
      <w:r w:rsidRPr="007574FF">
        <w:t xml:space="preserve"> </w:t>
      </w:r>
      <w:r w:rsidR="007574FF" w:rsidRPr="007574FF">
        <w:t>Qi, X., Souza, L., and Luo, Y.: Processes regulating progressive nitrogen limitation under elevated carbon dioxide: a meta-analysis. Biogeosciences, 13, 2689-2699, 2016.</w:t>
      </w:r>
    </w:p>
    <w:p w:rsidR="00BA4895" w:rsidRPr="0089641F" w:rsidRDefault="00BA4895" w:rsidP="00BA4895">
      <w:pPr>
        <w:pStyle w:val="EndNoteBibliography"/>
        <w:ind w:left="284" w:hanging="284"/>
      </w:pPr>
      <w:r w:rsidRPr="0089641F">
        <w:t>Luo, Y., Currie, W. S., Dukes, J. S., Finzi, A. C., Hartwig, U., Hungate, B. A., McMurtrie, R. E., Oren, R., Parton, W. J., Pataki, D. E., Shaw, M. R., Zak, D. R., and Field, C. B.: Progressive nitrogen limitation of ecosystem responses to rising atmospheric carbon dioxide, BioScience, 54, 731-739, 2004.</w:t>
      </w:r>
    </w:p>
    <w:p w:rsidR="00EE36DD" w:rsidRPr="0093686C" w:rsidRDefault="00EE36DD" w:rsidP="00EE36DD">
      <w:pPr>
        <w:pStyle w:val="EndNoteBibliography"/>
        <w:ind w:left="284" w:hanging="284"/>
      </w:pPr>
      <w:r w:rsidRPr="0093686C">
        <w:t>Rosenkranz, P., Dannenmann, M., Brüggemann, N., Papen, H., Berger, U., Zumbusch, E., and Butterbach-Bahl, K.: Gross rates of ammonification and nitrification at a nitrogen-saturated spruce (</w:t>
      </w:r>
      <w:r w:rsidRPr="0093686C">
        <w:rPr>
          <w:i/>
        </w:rPr>
        <w:t>Picea abies</w:t>
      </w:r>
      <w:r w:rsidRPr="0093686C">
        <w:t xml:space="preserve"> (L.) Karst.) stand in southern Germany, European Journal of Soil Science, 61, 745-758, 2010.</w:t>
      </w:r>
    </w:p>
    <w:p w:rsidR="00BA4895" w:rsidRPr="009C6BD0" w:rsidRDefault="00BA4895" w:rsidP="00BA4895">
      <w:pPr>
        <w:autoSpaceDE w:val="0"/>
        <w:autoSpaceDN w:val="0"/>
        <w:adjustRightInd w:val="0"/>
        <w:spacing w:line="240" w:lineRule="auto"/>
        <w:ind w:left="284" w:hanging="284"/>
        <w:jc w:val="both"/>
      </w:pPr>
      <w:r w:rsidRPr="009C6BD0">
        <w:t>Rütting T., and Andresen L. C.: Nitrogen cycle responses to elevated CO</w:t>
      </w:r>
      <w:r w:rsidRPr="009C6BD0">
        <w:rPr>
          <w:vertAlign w:val="subscript"/>
        </w:rPr>
        <w:t>2</w:t>
      </w:r>
      <w:r w:rsidRPr="009C6BD0">
        <w:t xml:space="preserve"> depend on ecosystem nutrient status. Nutrient Cycling in Agroecosystems, 101, 285-294, 2015.</w:t>
      </w:r>
    </w:p>
    <w:p w:rsidR="00BA4895" w:rsidRPr="0089641F" w:rsidRDefault="00BA4895" w:rsidP="00BA4895">
      <w:pPr>
        <w:pStyle w:val="EndNoteBibliography"/>
        <w:ind w:left="284" w:hanging="284"/>
      </w:pPr>
      <w:r w:rsidRPr="009C6BD0">
        <w:t xml:space="preserve">Smil, V.: Nitrogen in crop production: an account of global flows, Global Biogeochemical </w:t>
      </w:r>
      <w:r w:rsidRPr="0089641F">
        <w:t>Cycles, 13, 647-662, 1999.</w:t>
      </w:r>
    </w:p>
    <w:p w:rsidR="00BA4895" w:rsidRDefault="00BA4895" w:rsidP="00BA4895">
      <w:pPr>
        <w:autoSpaceDE w:val="0"/>
        <w:autoSpaceDN w:val="0"/>
        <w:adjustRightInd w:val="0"/>
        <w:spacing w:line="240" w:lineRule="auto"/>
        <w:ind w:left="284" w:hanging="284"/>
        <w:jc w:val="both"/>
      </w:pPr>
      <w:r w:rsidRPr="009C6BD0">
        <w:lastRenderedPageBreak/>
        <w:t>Walker, A. P., Zaehle, S., Medlyn, B. E., De Kauwe, M. G., Asao, S., Hickler, T., Parton, W., Ricciuto, D. M., Wang, Y. P., and Wårlind, D., Norby, R. J.: Predicting long-term carbon sequestration in response to CO</w:t>
      </w:r>
      <w:r w:rsidRPr="009C6BD0">
        <w:rPr>
          <w:vertAlign w:val="subscript"/>
        </w:rPr>
        <w:t>2</w:t>
      </w:r>
      <w:r w:rsidRPr="009C6BD0">
        <w:t xml:space="preserve"> enrichment: How and why do current ecosystem models differ? Global Biogeochemical Cycles, 29, 476-495, 2015.</w:t>
      </w:r>
    </w:p>
    <w:p w:rsidR="00EE36DD" w:rsidRDefault="00EE36DD" w:rsidP="00EE36DD">
      <w:pPr>
        <w:pStyle w:val="EndNoteBibliography"/>
        <w:ind w:left="284" w:hanging="284"/>
      </w:pPr>
      <w:r w:rsidRPr="0093686C">
        <w:t>Wang, C., Chen, Z., Unteregelsbacher, S., Lu, H., Gschwendtner, S., Gasche, R., Kolar, A., Schloter, M., Kiese, R., Butterbach-Bahl, K., and Dannenmann, M.: Climate change amplifies gross nitrogen turnover in montane grasslands of Central Europe in both summer and winter seasons, Global Change Biology, 22, 2963-2978, 2016.</w:t>
      </w:r>
    </w:p>
    <w:p w:rsidR="00BC29DF" w:rsidRPr="009C6BD0" w:rsidRDefault="00BC29DF" w:rsidP="00BA4895">
      <w:pPr>
        <w:autoSpaceDE w:val="0"/>
        <w:autoSpaceDN w:val="0"/>
        <w:adjustRightInd w:val="0"/>
        <w:spacing w:line="240" w:lineRule="auto"/>
        <w:ind w:left="284" w:hanging="284"/>
        <w:jc w:val="both"/>
      </w:pPr>
      <w:r w:rsidRPr="00BC29DF">
        <w:t>Wang</w:t>
      </w:r>
      <w:r>
        <w:t>,</w:t>
      </w:r>
      <w:r w:rsidRPr="00BC29DF">
        <w:t xml:space="preserve"> Y</w:t>
      </w:r>
      <w:r>
        <w:t>.</w:t>
      </w:r>
      <w:r w:rsidRPr="00BC29DF">
        <w:t>-P</w:t>
      </w:r>
      <w:r>
        <w:t xml:space="preserve">., and </w:t>
      </w:r>
      <w:r w:rsidRPr="00BC29DF">
        <w:t>Houlton</w:t>
      </w:r>
      <w:r>
        <w:t>,</w:t>
      </w:r>
      <w:r w:rsidRPr="00BC29DF">
        <w:t xml:space="preserve"> B</w:t>
      </w:r>
      <w:r>
        <w:t xml:space="preserve">. </w:t>
      </w:r>
      <w:r w:rsidRPr="00BC29DF">
        <w:t>Z</w:t>
      </w:r>
      <w:r>
        <w:t>.:</w:t>
      </w:r>
      <w:r w:rsidRPr="00BC29DF">
        <w:t xml:space="preserve"> Nitrogen constraints on terrestrial carbon uptake: Implications for the global carbon-climate feedback</w:t>
      </w:r>
      <w:r>
        <w:t>,</w:t>
      </w:r>
      <w:r w:rsidRPr="00BC29DF">
        <w:t xml:space="preserve"> Geophysical Research Letters 36</w:t>
      </w:r>
      <w:r>
        <w:t>,</w:t>
      </w:r>
      <w:r w:rsidRPr="00BC29DF">
        <w:t xml:space="preserve"> L24403</w:t>
      </w:r>
      <w:r>
        <w:t>, 2009.</w:t>
      </w:r>
    </w:p>
    <w:p w:rsidR="00BA4895" w:rsidRPr="0089641F" w:rsidRDefault="00BA4895" w:rsidP="00BA4895">
      <w:pPr>
        <w:pStyle w:val="EndNoteBibliography"/>
        <w:ind w:left="284" w:hanging="284"/>
      </w:pPr>
      <w:r w:rsidRPr="0089641F">
        <w:t>Zaehle, S., Medlyn, B. E., De Kauwe, M. G., Walker, A. P., Dietze, M. C., Hickler, T., Luo, Y., Wang, Y.-P., El-Masri, B., Thornton, P., Jain, A., Wang, S., Warlind, D., Weng, E., Parton, W., Iversen, C. M., Gallet-Budynek, A., McCarthy, H., Finzi, A., Hanson, P. J., Prentice, I. C., Oren, R., and Norby, R. J.: Evaluation of 11 terrestrial carbon</w:t>
      </w:r>
      <w:r>
        <w:t>-</w:t>
      </w:r>
      <w:r w:rsidRPr="0089641F">
        <w:t>nitrogen cycle models against observations from two temperate Free-Air CO</w:t>
      </w:r>
      <w:r w:rsidRPr="0089641F">
        <w:rPr>
          <w:vertAlign w:val="subscript"/>
        </w:rPr>
        <w:t>2</w:t>
      </w:r>
      <w:r w:rsidRPr="0089641F">
        <w:t xml:space="preserve"> Enrichment studies, New Phytologist, 202, 803-822, 2014.</w:t>
      </w:r>
    </w:p>
    <w:p w:rsidR="00BA4895" w:rsidRDefault="00BA4895" w:rsidP="00BA4895">
      <w:pPr>
        <w:spacing w:line="240" w:lineRule="auto"/>
        <w:jc w:val="both"/>
      </w:pPr>
    </w:p>
    <w:p w:rsidR="00863EFB" w:rsidRPr="00813C3E" w:rsidRDefault="004755EC" w:rsidP="00FD376F">
      <w:r>
        <w:br w:type="page"/>
      </w:r>
    </w:p>
    <w:p w:rsidR="00863EFB" w:rsidRDefault="007574FF" w:rsidP="00FD376F">
      <w:r>
        <w:lastRenderedPageBreak/>
        <w:t xml:space="preserve">Figure 1: </w:t>
      </w:r>
      <w:r w:rsidR="0082296D">
        <w:t xml:space="preserve">Response ratio of biological </w:t>
      </w:r>
      <w:r w:rsidR="0082296D" w:rsidRPr="00EF5568">
        <w:t>N</w:t>
      </w:r>
      <w:r w:rsidR="0082296D" w:rsidRPr="00EF5568">
        <w:rPr>
          <w:vertAlign w:val="subscript"/>
        </w:rPr>
        <w:t>2</w:t>
      </w:r>
      <w:r w:rsidR="0082296D">
        <w:t xml:space="preserve"> fixation to elevated </w:t>
      </w:r>
      <w:r w:rsidR="0082296D" w:rsidRPr="004D556C">
        <w:t>CO</w:t>
      </w:r>
      <w:r w:rsidR="0082296D" w:rsidRPr="004D556C">
        <w:rPr>
          <w:vertAlign w:val="subscript"/>
        </w:rPr>
        <w:t>2</w:t>
      </w:r>
      <w:r w:rsidR="0082296D">
        <w:t xml:space="preserve"> (mean </w:t>
      </w:r>
      <w:r w:rsidR="0082296D" w:rsidRPr="00690EA3">
        <w:t>±</w:t>
      </w:r>
      <w:r w:rsidR="0082296D">
        <w:t xml:space="preserve"> 95 % confidence interval). Data from Liang et al. (2016), separated into different groups: FACE = Free Air </w:t>
      </w:r>
      <w:r w:rsidR="0082296D" w:rsidRPr="004D556C">
        <w:t>CO</w:t>
      </w:r>
      <w:r w:rsidR="0082296D" w:rsidRPr="004D556C">
        <w:rPr>
          <w:vertAlign w:val="subscript"/>
        </w:rPr>
        <w:t>2</w:t>
      </w:r>
      <w:r w:rsidR="0082296D">
        <w:t xml:space="preserve"> Enrichment, OTC = Open Top Chambers; </w:t>
      </w:r>
      <w:r w:rsidR="0082296D" w:rsidRPr="00EF5568">
        <w:t>N</w:t>
      </w:r>
      <w:r w:rsidR="0082296D" w:rsidRPr="00EF5568">
        <w:rPr>
          <w:vertAlign w:val="subscript"/>
        </w:rPr>
        <w:t>2</w:t>
      </w:r>
      <w:r w:rsidR="0082296D">
        <w:t xml:space="preserve"> fixing = plant communities dominated by plants with symbiotic </w:t>
      </w:r>
      <w:r w:rsidR="0082296D" w:rsidRPr="00EF5568">
        <w:t>N</w:t>
      </w:r>
      <w:r w:rsidR="0082296D" w:rsidRPr="00EF5568">
        <w:rPr>
          <w:vertAlign w:val="subscript"/>
        </w:rPr>
        <w:t>2</w:t>
      </w:r>
      <w:r w:rsidR="0082296D">
        <w:t xml:space="preserve"> fixation; Non = plant communities not dominated by symbiotic </w:t>
      </w:r>
      <w:r w:rsidR="0082296D" w:rsidRPr="00EF5568">
        <w:t>N</w:t>
      </w:r>
      <w:r w:rsidR="0082296D" w:rsidRPr="00EF5568">
        <w:rPr>
          <w:vertAlign w:val="subscript"/>
        </w:rPr>
        <w:t>2</w:t>
      </w:r>
      <w:r w:rsidR="0082296D">
        <w:t xml:space="preserve"> fixation. Number in parenthesis is the number of data points.</w:t>
      </w:r>
    </w:p>
    <w:p w:rsidR="0082296D" w:rsidRDefault="0082296D">
      <w:pPr>
        <w:spacing w:before="120"/>
        <w:jc w:val="both"/>
      </w:pPr>
      <w:r>
        <w:rPr>
          <w:noProof/>
          <w:lang w:eastAsia="en-GB"/>
        </w:rPr>
        <w:drawing>
          <wp:inline distT="0" distB="0" distL="0" distR="0" wp14:anchorId="619AC4AE" wp14:editId="097823C0">
            <wp:extent cx="5756745" cy="3743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5"/>
                    <a:stretch/>
                  </pic:blipFill>
                  <pic:spPr bwMode="auto">
                    <a:xfrm>
                      <a:off x="0" y="0"/>
                      <a:ext cx="5760720" cy="374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0A" w:rsidRDefault="00DC6E0A">
      <w:r>
        <w:br w:type="page"/>
      </w:r>
    </w:p>
    <w:p w:rsidR="00DC6E0A" w:rsidRDefault="00DC6E0A">
      <w:pPr>
        <w:spacing w:before="120"/>
        <w:jc w:val="both"/>
      </w:pPr>
      <w:r>
        <w:lastRenderedPageBreak/>
        <w:t xml:space="preserve">Figure 2: Conceptual model of the proposed mechanism </w:t>
      </w:r>
      <w:r w:rsidR="00491ABA">
        <w:t xml:space="preserve">for </w:t>
      </w:r>
      <w:r>
        <w:t xml:space="preserve">preventing </w:t>
      </w:r>
      <w:r w:rsidR="00084F6A">
        <w:t xml:space="preserve">a </w:t>
      </w:r>
      <w:r>
        <w:t xml:space="preserve">progressive nitrogen (N) limitation under elevated </w:t>
      </w:r>
      <w:r w:rsidRPr="004D556C">
        <w:t>CO</w:t>
      </w:r>
      <w:r w:rsidRPr="004D556C">
        <w:rPr>
          <w:vertAlign w:val="subscript"/>
        </w:rPr>
        <w:t>2</w:t>
      </w:r>
      <w:r>
        <w:t xml:space="preserve"> (modified from Luo et al., 2004</w:t>
      </w:r>
      <w:r w:rsidR="009027FE">
        <w:t>; used with permission</w:t>
      </w:r>
      <w:r>
        <w:t>). Increased carbon</w:t>
      </w:r>
      <w:r w:rsidR="00084F6A">
        <w:t xml:space="preserve"> (C)</w:t>
      </w:r>
      <w:r>
        <w:t xml:space="preserve"> inputs to soil stimulate in a priming like mechanism</w:t>
      </w:r>
      <w:r w:rsidR="00491ABA">
        <w:t xml:space="preserve"> </w:t>
      </w:r>
      <w:r w:rsidR="00491ABA">
        <w:t>(red dashed line)</w:t>
      </w:r>
      <w:r w:rsidR="00491ABA">
        <w:t xml:space="preserve"> </w:t>
      </w:r>
      <w:r>
        <w:t xml:space="preserve">gross N mineralization </w:t>
      </w:r>
      <w:r w:rsidR="00491ABA">
        <w:t>(blue arrows)</w:t>
      </w:r>
      <w:r>
        <w:t xml:space="preserve">, which keeps plant available N </w:t>
      </w:r>
      <w:r w:rsidR="00084F6A">
        <w:t xml:space="preserve">(labile soil N) </w:t>
      </w:r>
      <w:r w:rsidR="00491ABA">
        <w:t xml:space="preserve">sufficient </w:t>
      </w:r>
      <w:r w:rsidR="00084F6A">
        <w:t xml:space="preserve">to satisfy the enhanced plant N </w:t>
      </w:r>
      <w:r w:rsidR="00491ABA">
        <w:t>demand (uptake)</w:t>
      </w:r>
      <w:r w:rsidR="00084F6A">
        <w:t xml:space="preserve">, </w:t>
      </w:r>
      <w:r w:rsidR="00491ABA">
        <w:t>thereby preventing the negati</w:t>
      </w:r>
      <w:bookmarkStart w:id="0" w:name="_GoBack"/>
      <w:bookmarkEnd w:id="0"/>
      <w:r w:rsidR="00491ABA">
        <w:t>ve feedback on</w:t>
      </w:r>
      <w:r w:rsidR="00084F6A">
        <w:t xml:space="preserve"> </w:t>
      </w:r>
      <w:r>
        <w:t>net primary productivity (NPP)</w:t>
      </w:r>
      <w:r w:rsidR="00084F6A">
        <w:t>.</w:t>
      </w:r>
    </w:p>
    <w:p w:rsidR="007574FF" w:rsidRPr="00195F58" w:rsidRDefault="0082296D">
      <w:pPr>
        <w:spacing w:before="120"/>
        <w:jc w:val="both"/>
      </w:pPr>
      <w:r>
        <w:rPr>
          <w:noProof/>
          <w:lang w:eastAsia="en-GB"/>
        </w:rPr>
        <w:drawing>
          <wp:inline distT="0" distB="0" distL="0" distR="0" wp14:anchorId="61003CBD" wp14:editId="6126FD25">
            <wp:extent cx="5760720" cy="42087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4FF" w:rsidRPr="00195F58" w:rsidSect="00A166C1">
      <w:footerReference w:type="default" r:id="rId11"/>
      <w:pgSz w:w="11906" w:h="16838"/>
      <w:pgMar w:top="1418" w:right="1418" w:bottom="1418" w:left="1418" w:header="709" w:footer="709" w:gutter="0"/>
      <w:lnNumType w:countBy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271" w:rsidRDefault="004A0271" w:rsidP="00A166C1">
      <w:pPr>
        <w:spacing w:line="240" w:lineRule="auto"/>
      </w:pPr>
      <w:r>
        <w:separator/>
      </w:r>
    </w:p>
  </w:endnote>
  <w:endnote w:type="continuationSeparator" w:id="0">
    <w:p w:rsidR="004A0271" w:rsidRDefault="004A0271" w:rsidP="00A166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88205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66C1" w:rsidRDefault="00A166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1AB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166C1" w:rsidRDefault="00A16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271" w:rsidRDefault="004A0271" w:rsidP="00A166C1">
      <w:pPr>
        <w:spacing w:line="240" w:lineRule="auto"/>
      </w:pPr>
      <w:r>
        <w:separator/>
      </w:r>
    </w:p>
  </w:footnote>
  <w:footnote w:type="continuationSeparator" w:id="0">
    <w:p w:rsidR="004A0271" w:rsidRDefault="004A0271" w:rsidP="00A166C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63EFB"/>
    <w:rsid w:val="0004415D"/>
    <w:rsid w:val="000475D3"/>
    <w:rsid w:val="00053DDF"/>
    <w:rsid w:val="00061416"/>
    <w:rsid w:val="0006310F"/>
    <w:rsid w:val="000631F8"/>
    <w:rsid w:val="00084F6A"/>
    <w:rsid w:val="00087B15"/>
    <w:rsid w:val="000B672B"/>
    <w:rsid w:val="000C1C22"/>
    <w:rsid w:val="000C3211"/>
    <w:rsid w:val="000C54C7"/>
    <w:rsid w:val="00103B35"/>
    <w:rsid w:val="00111184"/>
    <w:rsid w:val="001554A2"/>
    <w:rsid w:val="001832C5"/>
    <w:rsid w:val="00184F39"/>
    <w:rsid w:val="001C36D1"/>
    <w:rsid w:val="00222FAB"/>
    <w:rsid w:val="0025302E"/>
    <w:rsid w:val="00284B35"/>
    <w:rsid w:val="002A42A1"/>
    <w:rsid w:val="002C0D25"/>
    <w:rsid w:val="002D2083"/>
    <w:rsid w:val="002F31B5"/>
    <w:rsid w:val="003273B1"/>
    <w:rsid w:val="00334B2B"/>
    <w:rsid w:val="00382051"/>
    <w:rsid w:val="0039314E"/>
    <w:rsid w:val="003D0A6B"/>
    <w:rsid w:val="003F2F32"/>
    <w:rsid w:val="004008EE"/>
    <w:rsid w:val="004420C6"/>
    <w:rsid w:val="00444649"/>
    <w:rsid w:val="004461C1"/>
    <w:rsid w:val="004755EC"/>
    <w:rsid w:val="00491ABA"/>
    <w:rsid w:val="004A0271"/>
    <w:rsid w:val="004F30B2"/>
    <w:rsid w:val="00511679"/>
    <w:rsid w:val="00522BC1"/>
    <w:rsid w:val="00552A81"/>
    <w:rsid w:val="00563317"/>
    <w:rsid w:val="005A2FED"/>
    <w:rsid w:val="005D4E7C"/>
    <w:rsid w:val="005D56A0"/>
    <w:rsid w:val="005F60D9"/>
    <w:rsid w:val="00607FF6"/>
    <w:rsid w:val="00632237"/>
    <w:rsid w:val="00635019"/>
    <w:rsid w:val="006543EB"/>
    <w:rsid w:val="0067387C"/>
    <w:rsid w:val="006817A2"/>
    <w:rsid w:val="006D43EE"/>
    <w:rsid w:val="007112D8"/>
    <w:rsid w:val="00741877"/>
    <w:rsid w:val="007574FF"/>
    <w:rsid w:val="00774692"/>
    <w:rsid w:val="007922B7"/>
    <w:rsid w:val="007E66A4"/>
    <w:rsid w:val="007F12BB"/>
    <w:rsid w:val="00805E2F"/>
    <w:rsid w:val="0082296D"/>
    <w:rsid w:val="00863970"/>
    <w:rsid w:val="008639D8"/>
    <w:rsid w:val="00863EFB"/>
    <w:rsid w:val="00885C55"/>
    <w:rsid w:val="008A2900"/>
    <w:rsid w:val="008F31E8"/>
    <w:rsid w:val="009027FE"/>
    <w:rsid w:val="00917480"/>
    <w:rsid w:val="00925610"/>
    <w:rsid w:val="0093407B"/>
    <w:rsid w:val="009754FD"/>
    <w:rsid w:val="009A1814"/>
    <w:rsid w:val="009A2B2E"/>
    <w:rsid w:val="009B4845"/>
    <w:rsid w:val="009B7D3D"/>
    <w:rsid w:val="009C6BD0"/>
    <w:rsid w:val="009F14C9"/>
    <w:rsid w:val="00A166C1"/>
    <w:rsid w:val="00AC6BEC"/>
    <w:rsid w:val="00AF44BD"/>
    <w:rsid w:val="00AF4759"/>
    <w:rsid w:val="00AF763C"/>
    <w:rsid w:val="00B23098"/>
    <w:rsid w:val="00B45276"/>
    <w:rsid w:val="00B575A2"/>
    <w:rsid w:val="00B72C64"/>
    <w:rsid w:val="00BA4895"/>
    <w:rsid w:val="00BB3176"/>
    <w:rsid w:val="00BB48EC"/>
    <w:rsid w:val="00BC29DF"/>
    <w:rsid w:val="00BD6080"/>
    <w:rsid w:val="00C13490"/>
    <w:rsid w:val="00C22EF3"/>
    <w:rsid w:val="00C708E8"/>
    <w:rsid w:val="00C71BFB"/>
    <w:rsid w:val="00CB7AF3"/>
    <w:rsid w:val="00CF3095"/>
    <w:rsid w:val="00D0499C"/>
    <w:rsid w:val="00D07954"/>
    <w:rsid w:val="00D50559"/>
    <w:rsid w:val="00D506CB"/>
    <w:rsid w:val="00D53FCD"/>
    <w:rsid w:val="00D6593E"/>
    <w:rsid w:val="00D83EB2"/>
    <w:rsid w:val="00DB7767"/>
    <w:rsid w:val="00DC2D26"/>
    <w:rsid w:val="00DC6A60"/>
    <w:rsid w:val="00DC6E0A"/>
    <w:rsid w:val="00DE7C3D"/>
    <w:rsid w:val="00E529C4"/>
    <w:rsid w:val="00E62214"/>
    <w:rsid w:val="00E970D6"/>
    <w:rsid w:val="00EC287B"/>
    <w:rsid w:val="00EC28F2"/>
    <w:rsid w:val="00EE0FDB"/>
    <w:rsid w:val="00EE36DD"/>
    <w:rsid w:val="00EF3E67"/>
    <w:rsid w:val="00EF5E42"/>
    <w:rsid w:val="00F1304A"/>
    <w:rsid w:val="00F56495"/>
    <w:rsid w:val="00F936B7"/>
    <w:rsid w:val="00F9539F"/>
    <w:rsid w:val="00FA7B75"/>
    <w:rsid w:val="00FD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EFB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863EFB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63EFB"/>
    <w:rPr>
      <w:noProof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63EFB"/>
    <w:pPr>
      <w:spacing w:line="240" w:lineRule="auto"/>
      <w:jc w:val="both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63EFB"/>
    <w:rPr>
      <w:noProof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9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54A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936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6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6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6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6B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166C1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6C1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A166C1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6C1"/>
    <w:rPr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A166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EFB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863EFB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63EFB"/>
    <w:rPr>
      <w:noProof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63EFB"/>
    <w:pPr>
      <w:spacing w:line="240" w:lineRule="auto"/>
      <w:jc w:val="both"/>
    </w:pPr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63EFB"/>
    <w:rPr>
      <w:noProof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9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54A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936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6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6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6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6B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166C1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6C1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A166C1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6C1"/>
    <w:rPr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A16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cc.lu.s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obias.rutting@gu.se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2461</Words>
  <Characters>14032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Gothenburg University</Company>
  <LinksUpToDate>false</LinksUpToDate>
  <CharactersWithSpaces>16461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 Rütting</dc:creator>
  <cp:lastModifiedBy>Tobias Rütting</cp:lastModifiedBy>
  <cp:revision>7</cp:revision>
  <dcterms:created xsi:type="dcterms:W3CDTF">2017-01-31T12:47:00Z</dcterms:created>
  <dcterms:modified xsi:type="dcterms:W3CDTF">2017-02-01T14:47:00Z</dcterms:modified>
</cp:coreProperties>
</file>