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08" w:rsidRPr="00740101" w:rsidRDefault="005E5608" w:rsidP="005E5608">
      <w:pPr>
        <w:spacing w:line="480" w:lineRule="auto"/>
        <w:jc w:val="center"/>
        <w:rPr>
          <w:rFonts w:cstheme="minorHAnsi"/>
          <w:sz w:val="24"/>
          <w:szCs w:val="24"/>
          <w:u w:val="single"/>
        </w:rPr>
      </w:pPr>
      <w:r w:rsidRPr="00740101">
        <w:rPr>
          <w:rFonts w:cstheme="minorHAnsi"/>
          <w:sz w:val="24"/>
          <w:szCs w:val="24"/>
          <w:u w:val="single"/>
        </w:rPr>
        <w:t>Supplementary Information for “Parallel functional and stoichiometric trait shifts in South-American and African forest communities with elevation”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60114B">
        <w:rPr>
          <w:rFonts w:cstheme="minorHAnsi"/>
          <w:noProof/>
          <w:sz w:val="24"/>
          <w:szCs w:val="24"/>
          <w:lang w:val="nl-BE" w:eastAsia="nl-BE"/>
        </w:rPr>
        <w:drawing>
          <wp:inline distT="0" distB="0" distL="0" distR="0" wp14:anchorId="377DAF1F" wp14:editId="6BB418EB">
            <wp:extent cx="4296035" cy="5524500"/>
            <wp:effectExtent l="0" t="0" r="9525" b="0"/>
            <wp:docPr id="3" name="Picture 3" descr="C:\Users\Marijn\Dropbox\Doctoraat\Publicaties\TransectData\RevisionsPNAS\Final\Fig_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jn\Dropbox\Doctoraat\Publicaties\TransectData\RevisionsPNAS\Final\Fig_S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017" cy="5527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Fig. S1.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  <w:r w:rsidRPr="00740101">
        <w:rPr>
          <w:rFonts w:cstheme="minorHAnsi"/>
          <w:sz w:val="24"/>
          <w:szCs w:val="24"/>
        </w:rPr>
        <w:t xml:space="preserve">Overview map with the locations of the Ecuador transect (upper; 400-3200 </w:t>
      </w:r>
      <w:proofErr w:type="spellStart"/>
      <w:r w:rsidRPr="00740101">
        <w:rPr>
          <w:rFonts w:cstheme="minorHAnsi"/>
          <w:sz w:val="24"/>
          <w:szCs w:val="24"/>
        </w:rPr>
        <w:t>masl</w:t>
      </w:r>
      <w:proofErr w:type="spellEnd"/>
      <w:r w:rsidRPr="00740101">
        <w:rPr>
          <w:rFonts w:cstheme="minorHAnsi"/>
          <w:sz w:val="24"/>
          <w:szCs w:val="24"/>
        </w:rPr>
        <w:t xml:space="preserve">, 4-5 plots per cluster) and the Rwanda transect (lower; 1600 - 3000 </w:t>
      </w:r>
      <w:proofErr w:type="spellStart"/>
      <w:r w:rsidRPr="00740101">
        <w:rPr>
          <w:rFonts w:cstheme="minorHAnsi"/>
          <w:sz w:val="24"/>
          <w:szCs w:val="24"/>
        </w:rPr>
        <w:t>masl</w:t>
      </w:r>
      <w:proofErr w:type="spellEnd"/>
      <w:r w:rsidRPr="00740101">
        <w:rPr>
          <w:rFonts w:cstheme="minorHAnsi"/>
          <w:sz w:val="24"/>
          <w:szCs w:val="24"/>
        </w:rPr>
        <w:t>, 5 plots per cluster) plot locations projected on a DEM (based on the Aster GDEM product (1).  For clarity different scale legends are used in both maps.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60114B">
        <w:rPr>
          <w:rFonts w:cstheme="minorHAnsi"/>
          <w:noProof/>
          <w:sz w:val="24"/>
          <w:szCs w:val="24"/>
          <w:lang w:val="nl-BE" w:eastAsia="nl-BE"/>
        </w:rPr>
        <w:lastRenderedPageBreak/>
        <w:drawing>
          <wp:inline distT="0" distB="0" distL="0" distR="0" wp14:anchorId="772CD558" wp14:editId="0E01996B">
            <wp:extent cx="4051203" cy="6048375"/>
            <wp:effectExtent l="0" t="0" r="6985" b="0"/>
            <wp:docPr id="4" name="Picture 4" descr="C:\Users\Marijn\Dropbox\Doctoraat\Publicaties\TransectData\RevisionsPNAS\Final\Fig_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jn\Dropbox\Doctoraat\Publicaties\TransectData\RevisionsPNAS\Final\Fig_S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075" cy="605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Fig. S2.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Structure and correlations of the trait data in the Rwanda (upper), Ecuador (middle) and both (lower) transects with </w:t>
      </w:r>
      <w:proofErr w:type="spellStart"/>
      <w:r w:rsidRPr="00740101">
        <w:rPr>
          <w:rFonts w:cstheme="minorHAnsi"/>
          <w:sz w:val="24"/>
          <w:szCs w:val="24"/>
        </w:rPr>
        <w:t>pearson</w:t>
      </w:r>
      <w:proofErr w:type="spellEnd"/>
      <w:r w:rsidRPr="00740101">
        <w:rPr>
          <w:rFonts w:cstheme="minorHAnsi"/>
          <w:sz w:val="24"/>
          <w:szCs w:val="24"/>
        </w:rPr>
        <w:t xml:space="preserve"> correlation statistics and their significances (p-value &lt; 0.001 ***, &lt; 0.01 **, &lt; 0.05*,&lt; 0.1 .). Diagonal shows the probability density function as fitted with fitted kernel density plots. Shown for specific leaf area (SLA), leaf nitrogen content (LNC), leaf C</w:t>
      </w:r>
      <w:proofErr w:type="gramStart"/>
      <w:r w:rsidRPr="00740101">
        <w:rPr>
          <w:rFonts w:cstheme="minorHAnsi"/>
          <w:sz w:val="24"/>
          <w:szCs w:val="24"/>
        </w:rPr>
        <w:t>:N</w:t>
      </w:r>
      <w:proofErr w:type="gramEnd"/>
      <w:r w:rsidRPr="00740101">
        <w:rPr>
          <w:rFonts w:cstheme="minorHAnsi"/>
          <w:sz w:val="24"/>
          <w:szCs w:val="24"/>
        </w:rPr>
        <w:t xml:space="preserve"> ratio, leaf phosphorus content (LPC) and leaf N:P ratio.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pgSz w:w="12240" w:h="15840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nl-BE" w:eastAsia="nl-BE"/>
        </w:rPr>
        <w:lastRenderedPageBreak/>
        <w:drawing>
          <wp:inline distT="0" distB="0" distL="0" distR="0" wp14:anchorId="6E674881" wp14:editId="0B556445">
            <wp:extent cx="5943600" cy="2930984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Fig. S3.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pgSz w:w="12240" w:h="15840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  <w:r w:rsidRPr="00740101">
        <w:rPr>
          <w:rFonts w:cstheme="minorHAnsi"/>
          <w:sz w:val="24"/>
          <w:szCs w:val="24"/>
        </w:rPr>
        <w:t xml:space="preserve">Trends in community-level leaf nitrogen content (LNC), leaf mass area (LMA) and mean annual temperature (MAT) on different transects (as described in Asner et al., 2016; </w:t>
      </w:r>
      <w:proofErr w:type="spellStart"/>
      <w:r w:rsidRPr="00740101">
        <w:rPr>
          <w:rFonts w:cstheme="minorHAnsi"/>
          <w:sz w:val="24"/>
          <w:szCs w:val="24"/>
        </w:rPr>
        <w:t>Kitayama</w:t>
      </w:r>
      <w:proofErr w:type="spellEnd"/>
      <w:r w:rsidRPr="00740101">
        <w:rPr>
          <w:rFonts w:cstheme="minorHAnsi"/>
          <w:sz w:val="24"/>
          <w:szCs w:val="24"/>
        </w:rPr>
        <w:t xml:space="preserve"> &amp; </w:t>
      </w:r>
      <w:proofErr w:type="spellStart"/>
      <w:r w:rsidRPr="00740101">
        <w:rPr>
          <w:rFonts w:cstheme="minorHAnsi"/>
          <w:sz w:val="24"/>
          <w:szCs w:val="24"/>
        </w:rPr>
        <w:t>Aiba</w:t>
      </w:r>
      <w:proofErr w:type="spellEnd"/>
      <w:r w:rsidRPr="00740101">
        <w:rPr>
          <w:rFonts w:cstheme="minorHAnsi"/>
          <w:sz w:val="24"/>
          <w:szCs w:val="24"/>
        </w:rPr>
        <w:t xml:space="preserve">, 2002; Van de </w:t>
      </w:r>
      <w:proofErr w:type="spellStart"/>
      <w:r w:rsidRPr="00740101">
        <w:rPr>
          <w:rFonts w:cstheme="minorHAnsi"/>
          <w:sz w:val="24"/>
          <w:szCs w:val="24"/>
        </w:rPr>
        <w:t>Weg</w:t>
      </w:r>
      <w:proofErr w:type="spellEnd"/>
      <w:r w:rsidRPr="00740101">
        <w:rPr>
          <w:rFonts w:cstheme="minorHAnsi"/>
          <w:sz w:val="24"/>
          <w:szCs w:val="24"/>
        </w:rPr>
        <w:t xml:space="preserve"> et al., 2009) compared to our transects in Ecuador and Rwanda. Figure was obtained by using reported linear regression parameters, and by applying simple linear regression lines to this study’s data.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</w:t>
      </w:r>
      <w:r w:rsidRPr="00740101">
        <w:rPr>
          <w:rFonts w:cstheme="minorHAnsi"/>
          <w:sz w:val="24"/>
          <w:szCs w:val="24"/>
        </w:rPr>
        <w:t>able S1.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Coordinates, elevation and cluster membership of the different plots on both transects</w:t>
      </w:r>
    </w:p>
    <w:tbl>
      <w:tblPr>
        <w:tblpPr w:leftFromText="141" w:rightFromText="141" w:vertAnchor="page" w:horzAnchor="margin" w:tblpXSpec="center" w:tblpY="3001"/>
        <w:tblW w:w="10726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655"/>
        <w:gridCol w:w="150"/>
        <w:gridCol w:w="1288"/>
        <w:gridCol w:w="1568"/>
        <w:gridCol w:w="908"/>
        <w:gridCol w:w="243"/>
        <w:gridCol w:w="520"/>
        <w:gridCol w:w="712"/>
        <w:gridCol w:w="1548"/>
        <w:gridCol w:w="1508"/>
        <w:gridCol w:w="920"/>
      </w:tblGrid>
      <w:tr w:rsidR="005E5608" w:rsidRPr="00AA3795" w:rsidTr="00A56D36">
        <w:trPr>
          <w:trHeight w:val="300"/>
        </w:trPr>
        <w:tc>
          <w:tcPr>
            <w:tcW w:w="1511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eastAsia="nl-BE"/>
              </w:rPr>
            </w:pPr>
          </w:p>
        </w:tc>
        <w:tc>
          <w:tcPr>
            <w:tcW w:w="3764" w:type="dxa"/>
            <w:gridSpan w:val="3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Ecuador</w:t>
            </w:r>
          </w:p>
        </w:tc>
        <w:tc>
          <w:tcPr>
            <w:tcW w:w="243" w:type="dxa"/>
            <w:tcBorders>
              <w:bottom w:val="nil"/>
            </w:tcBorders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1232" w:type="dxa"/>
            <w:gridSpan w:val="2"/>
            <w:tcBorders>
              <w:bottom w:val="dashed" w:sz="4" w:space="0" w:color="auto"/>
            </w:tcBorders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Rwanda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Plot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Cluster</w:t>
            </w:r>
          </w:p>
        </w:tc>
        <w:tc>
          <w:tcPr>
            <w:tcW w:w="1438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Latitude</w:t>
            </w:r>
          </w:p>
        </w:tc>
        <w:tc>
          <w:tcPr>
            <w:tcW w:w="156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Longitude</w:t>
            </w:r>
          </w:p>
        </w:tc>
        <w:tc>
          <w:tcPr>
            <w:tcW w:w="90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Elevation</w:t>
            </w: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Plot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Cluster</w:t>
            </w:r>
          </w:p>
        </w:tc>
        <w:tc>
          <w:tcPr>
            <w:tcW w:w="154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Latitude</w:t>
            </w:r>
          </w:p>
        </w:tc>
        <w:tc>
          <w:tcPr>
            <w:tcW w:w="150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Longitude</w:t>
            </w:r>
          </w:p>
        </w:tc>
        <w:tc>
          <w:tcPr>
            <w:tcW w:w="92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Elevation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08' 50.58" N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079° 08' 37.03" W</w:t>
            </w:r>
          </w:p>
        </w:tc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406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26' 47.28" S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15' 09.96" E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2879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08' 45.79"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079° 08' 34.45"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420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26' 50.93"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15' 07.55"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2875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08' 50.31"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079° 08' 31.87"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404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26' 25.68"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15' 00.96"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2937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08' 50.49"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079° 08' 33.30"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410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27' 09.89"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14' 57.36"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2767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08' 50.27"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079° 08' 35.04"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394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27' 12.42"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14' 57.29"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2761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02' 10.16"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52' 00.04"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1098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52.79"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11' 04.08"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2293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02' 08.27"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51' 59.52"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1055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41.45"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10' 53.51"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2240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02' 06.95"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51' 59.51"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1077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27' 33.59"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02.52"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1745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02' 11.07"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52' 02.51"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1041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34' 16.07"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13' 14.40"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1835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05' 36.80"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37' 17.64"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1953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34' 15.35"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13' 04.25"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1799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05' 45.48"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37' 19.25"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1893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34' 15.12"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29.88"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1760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05' 48.54"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37' 22.21"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1873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34' 21.47"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01.91"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1659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06' 06.87"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37' 40.73"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1764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23.51"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21.42"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2141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26' 58.63"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28' 13.58"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3214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13.91"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29.69"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2158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26' 59.20"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28' 14.94"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3222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10.44"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14' 25.68"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2557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26' 58.11"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28' 12.35"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3191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16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11.09"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14' 18.17"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2523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00° 27' 04.12" N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078° 28' 18.17" W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3241</w:t>
            </w: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17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29' 10.61"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09' 33.90"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2167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655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sz w:val="18"/>
                <w:szCs w:val="18"/>
                <w:lang w:val="nl-BE" w:eastAsia="nl-BE"/>
              </w:rPr>
              <w:t>18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28' 43.97"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12' 07.85"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2456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655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sz w:val="18"/>
                <w:szCs w:val="18"/>
                <w:lang w:val="nl-BE" w:eastAsia="nl-BE"/>
              </w:rPr>
              <w:t>19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29' 10.61"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11' 55.74"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2500</w:t>
            </w:r>
          </w:p>
        </w:tc>
      </w:tr>
      <w:tr w:rsidR="005E5608" w:rsidRPr="00AA3795" w:rsidTr="00A56D36">
        <w:trPr>
          <w:trHeight w:val="30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</w:p>
        </w:tc>
        <w:tc>
          <w:tcPr>
            <w:tcW w:w="655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438" w:type="dxa"/>
            <w:gridSpan w:val="2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243" w:type="dxa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sz w:val="18"/>
                <w:szCs w:val="18"/>
                <w:lang w:val="nl-BE" w:eastAsia="nl-BE"/>
              </w:rPr>
              <w:t>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02° 29' 14.16" S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333333"/>
                <w:sz w:val="18"/>
                <w:szCs w:val="18"/>
                <w:lang w:val="nl-BE" w:eastAsia="nl-BE"/>
              </w:rPr>
              <w:t>029° 11' 42.83" E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5E5608" w:rsidRPr="00AA3795" w:rsidRDefault="005E5608" w:rsidP="00A56D36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</w:pPr>
            <w:r w:rsidRPr="00AA3795">
              <w:rPr>
                <w:rFonts w:asciiTheme="minorHAnsi" w:hAnsiTheme="minorHAnsi"/>
                <w:color w:val="000000"/>
                <w:sz w:val="18"/>
                <w:szCs w:val="18"/>
                <w:lang w:val="nl-BE" w:eastAsia="nl-BE"/>
              </w:rPr>
              <w:t>2522</w:t>
            </w:r>
          </w:p>
        </w:tc>
      </w:tr>
    </w:tbl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pgSz w:w="15840" w:h="12240" w:orient="landscape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</w:p>
    <w:tbl>
      <w:tblPr>
        <w:tblpPr w:leftFromText="141" w:rightFromText="141" w:vertAnchor="page" w:horzAnchor="margin" w:tblpXSpec="center" w:tblpY="4291"/>
        <w:tblW w:w="11896" w:type="dxa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"/>
        <w:gridCol w:w="816"/>
        <w:gridCol w:w="1420"/>
        <w:gridCol w:w="1080"/>
        <w:gridCol w:w="1080"/>
        <w:gridCol w:w="1300"/>
        <w:gridCol w:w="1520"/>
        <w:gridCol w:w="1180"/>
        <w:gridCol w:w="1140"/>
        <w:gridCol w:w="990"/>
      </w:tblGrid>
      <w:tr w:rsidR="005E5608" w:rsidRPr="000E1F44" w:rsidTr="00A56D36">
        <w:trPr>
          <w:trHeight w:val="31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lastRenderedPageBreak/>
              <w:t>Transect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t>Plot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t>Altitude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SLA (cm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g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LNC (%)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LPC (%)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C:N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C:P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N:P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δ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15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N (</w:t>
            </w:r>
            <w:r w:rsidRPr="007426A4">
              <w:rPr>
                <w:rFonts w:cs="Calibri"/>
                <w:b/>
                <w:color w:val="000000"/>
                <w:sz w:val="18"/>
                <w:szCs w:val="18"/>
              </w:rPr>
              <w:t>‰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5608" w:rsidRPr="007426A4" w:rsidRDefault="005E5608" w:rsidP="00A56D3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Percentage of BA sampled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404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149.74 ± 66.55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2.61 ± 0.48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0.03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17.43 ± 2.88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359.7 ± 65.25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20.89 ± 3.06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2.7 ± 1.5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77%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2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420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136.43 ± 42.31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3.02 ± 0.83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0.15 ± 0.05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15.45 ± 3.95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320.39 ± 107.88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21.06 ± 2.52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3.24 ± 1.4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73%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3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404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148.83 ± 54.33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2.62 ± 0.57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17.69 ± 3.11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356.46 ± 76.83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20.62 ± 3.72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2.66 ± 0.79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83%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4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410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146.62 ± 57.34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2.61 ± 0.59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17.64 ± 3.26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364.41 ± 76.66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20.92 ± 3.03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2.74 ± 0.96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66%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5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394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146.04 ± 68.13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2.57 ± 0.58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17.73 ± 3.15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371.72 ± 67.92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21.32 ± 3.26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2.54 ± 0.86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61%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6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1098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142.58 ± 35.07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2.31 ± 0.52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0.14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20.6 ± 4.23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369.76 ± 137.5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18.57 ± 6.64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-0.25 ± 1.4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30%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7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1055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164.48 ± 46.3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2.68 ± 0.7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0.15 ± 0.06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17.68 ± 4.64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320.68 ± 120.44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18.52 ± 5.2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1.12 ± 1.87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55%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8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1077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162.65 ± 34.15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2.73 ± 0.57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0.15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17.22 ± 3.61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304.51 ± 55.54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18.12 ± 2.35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1.5 ± 1.09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55%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9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1041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135.56 ± 45.96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2.15 ± 0.54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0.14 ± 0.05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20.36 ± 3.17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332.95 ± 72.91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16.41 ± 2.91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0.77 ± 1.67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44%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10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1953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115.76 ± 25.38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2.08 ± 0.43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22.48 ± 5.34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341.55 ± 43.48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15.78 ± 2.54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0.22 ± 0.81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64%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11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1893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123.92 ± 26.67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1.98 ± 0.57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23.74 ± 7.24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365.68 ± 95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16.02 ± 2.5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-0.04 ± 1.1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83%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12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1873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113.68 ± 29.9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2.28 ± 0.38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0.15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20.51 ± 3.75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323.25 ± 80.78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16.44 ± 4.47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0.18 ± 0.73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76%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13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1764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113.57 ± 18.51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1.99 ± 0.38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23.28 ± 4.46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360.03 ± 37.76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15.67 ± 2.39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0.52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72%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14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3214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47.95 ± 26.12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0.97 ± 0.36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0.06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50.96 ± 13.85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772.64 ± 115.72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15.56 ± 3.55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-5.07 ± 1.94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85%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15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3222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49.29 ± 24.14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1.02 ± 0.47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0.06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49.43 ± 15.54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756.2 ± 138.32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15.86 ± 3.99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-4.83 ± 2.3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95%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16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3191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46.88 ± 18.44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0.98 ± 0.43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0.06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51.07 ± 14.52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770.36 ± 141.15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15.46 ± 3.23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-5.05 ± 2.32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91%</w:t>
            </w:r>
          </w:p>
        </w:tc>
      </w:tr>
      <w:tr w:rsidR="005E5608" w:rsidRPr="000E1F44" w:rsidTr="00A56D36">
        <w:trPr>
          <w:trHeight w:val="315"/>
        </w:trPr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Ecuador</w:t>
            </w:r>
          </w:p>
        </w:tc>
        <w:tc>
          <w:tcPr>
            <w:tcW w:w="520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Cs/>
                <w:color w:val="555555"/>
                <w:lang w:val="nl-BE" w:eastAsia="nl-BE"/>
              </w:rPr>
              <w:t>17</w:t>
            </w:r>
          </w:p>
        </w:tc>
        <w:tc>
          <w:tcPr>
            <w:tcW w:w="816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3241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59.27 ± 30.31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1.16 ± 0.38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0.07 ± 0.01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44.08 ± 14.2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697.04 ± 151.06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16.47 ± 2.8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-4.23 ± 1.84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95%</w:t>
            </w:r>
          </w:p>
        </w:tc>
      </w:tr>
    </w:tbl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Table S2a.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Summary of the plot-level (mean and standard deviation) leaf nitrogen content (LNC), leaf phosphorus content (LPC), specific leaf area (SLA), and leaf C</w:t>
      </w:r>
      <w:proofErr w:type="gramStart"/>
      <w:r w:rsidRPr="00740101">
        <w:rPr>
          <w:rFonts w:cstheme="minorHAnsi"/>
          <w:sz w:val="24"/>
          <w:szCs w:val="24"/>
        </w:rPr>
        <w:t>:N</w:t>
      </w:r>
      <w:proofErr w:type="gramEnd"/>
      <w:r w:rsidRPr="00740101">
        <w:rPr>
          <w:rFonts w:cstheme="minorHAnsi"/>
          <w:sz w:val="24"/>
          <w:szCs w:val="24"/>
        </w:rPr>
        <w:t xml:space="preserve">, C:P, N:P and δ15N, along with the total percentage of the basal area (BA) sampled per plot of the Ecuador transect. 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pgSz w:w="15840" w:h="12240" w:orient="landscape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lastRenderedPageBreak/>
        <w:t>Table S2b.</w:t>
      </w:r>
    </w:p>
    <w:tbl>
      <w:tblPr>
        <w:tblpPr w:leftFromText="141" w:rightFromText="141" w:vertAnchor="page" w:horzAnchor="margin" w:tblpY="3586"/>
        <w:tblW w:w="12338" w:type="dxa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62"/>
        <w:gridCol w:w="960"/>
        <w:gridCol w:w="1420"/>
        <w:gridCol w:w="1080"/>
        <w:gridCol w:w="1080"/>
        <w:gridCol w:w="1300"/>
        <w:gridCol w:w="1520"/>
        <w:gridCol w:w="1180"/>
        <w:gridCol w:w="1140"/>
        <w:gridCol w:w="990"/>
        <w:gridCol w:w="146"/>
      </w:tblGrid>
      <w:tr w:rsidR="005E5608" w:rsidRPr="000E1F44" w:rsidTr="00A56D36">
        <w:trPr>
          <w:trHeight w:val="315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t>Transect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t>Plot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color w:val="000000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color w:val="000000"/>
                <w:lang w:val="nl-BE" w:eastAsia="nl-BE"/>
              </w:rPr>
              <w:t>Altitude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SLA (cm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g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LNC (%)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LPC (%)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CN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CP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  <w:t>NP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7426A4" w:rsidRDefault="005E5608" w:rsidP="00A56D36">
            <w:pPr>
              <w:jc w:val="center"/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δ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  <w:vertAlign w:val="superscript"/>
              </w:rPr>
              <w:t>15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N (</w:t>
            </w:r>
            <w:r w:rsidRPr="007426A4">
              <w:rPr>
                <w:rFonts w:cs="Calibri"/>
                <w:b/>
                <w:color w:val="000000"/>
                <w:sz w:val="18"/>
                <w:szCs w:val="18"/>
              </w:rPr>
              <w:t>‰</w:t>
            </w: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5608" w:rsidRPr="007426A4" w:rsidRDefault="005E5608" w:rsidP="00A56D3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7426A4">
              <w:rPr>
                <w:rFonts w:cs="Calibri"/>
                <w:b/>
                <w:bCs/>
                <w:color w:val="000000"/>
                <w:sz w:val="18"/>
                <w:szCs w:val="18"/>
              </w:rPr>
              <w:t>Percentage of BA sampled</w:t>
            </w: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b/>
                <w:bCs/>
                <w:color w:val="555555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2879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42.04 ± 28.52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1.53 ± 0.94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0.09 ± 0.04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34.58 ± 13.74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564.61 ± 171.59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16.81 ± 2.85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-0.12 ± 1.46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1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2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2875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45.83 ± 23.33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1.83 ± 1.03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 ± 0.05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30.78 ± 14.2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508.9 ± 191.33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17.16 ± 2.3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0.52 ± 1.89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2937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35.53 ± 26.65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1.33 ± 1.09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0.08 ± 0.05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37.72 ± 15.34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598.75 ± 202.9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16.09 ± 2.42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-0.2 ± 1.6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2767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60.76 ± 31.92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2.09 ± 0.93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27.67 ± 11.72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483.82 ± 147.81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19.26 ± 5.05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0.8 ± 1.73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2761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60.19 ± 32.62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2.09 ± 0.98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27.95 ± 12.02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488.41 ± 149.64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19.55 ± 5.66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0.68 ± 1.59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6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2293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99.03 ± 21.26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2.54 ± 0.49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19.85 ± 3.8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398.62 ± 86.35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21.01 ± 3.94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3.2 ± 1.85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86%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7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2240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112.49 ± 25.8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2.49 ± 0.53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20.88 ± 4.5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380.75 ± 78.3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19.57 ± 3.17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4.07 ± 1.9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8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1745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110.11 ± 25.21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2.59 ± 0.66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20.59 ± 4.03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385.18 ± 73.06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20.44 ± 3.37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3.52 ± 1.94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9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1835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106.3 ± 32.8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2.68 ± 0.74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19.81 ± 4.91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384.09 ± 96.91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20.83 ± 3.7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3.8 ± 1.83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10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1799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106.11 ± 30.81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2.62 ± 0.72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0.13 ± 0.05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20.19 ± 5.37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388.53 ± 115.94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20.4 ± 5.11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4.23 ± 1.98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11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1760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111.25 ± 21.64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 ± 0.63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20.4 ± 4.39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388.3 ± 62.55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20.89 ± 3.51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3.97 ± 1.48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12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1659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104.19 ± 39.07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2.39 ± 0.71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0.04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21.88 ± 4.92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404.88 ± 97.93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19.63 ± 3.97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3.51 ± 2.27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2141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102.67 ± 21.38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2.61 ± 0.56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19.39 ± 4.36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413.08 ± 102.42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22.01 ± 4.45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4.01 ± 1.99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2158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105.99 ± 22.76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2.55 ± 0.39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20.85 ± 3.29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439.03 ± 66.3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23.06 ± 3.52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3.31 ± 1.42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2557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98.84 ± 24.87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2.5 ± 0.73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22.43 ± 4.52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433.44 ± 65.02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22.89 ± 6.92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1.01 ± 0.88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16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2523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100.12 ± 27.99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2.38 ± 0.73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23.16 ± 5.33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440.96 ± 61.48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22.02 ± 6.44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0.94 ± 0.8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17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2167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89.7 ± 30.72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2.18 ± 0.63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24.28 ± 7.86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448.71 ± 101.96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19.45 ± 2.82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1.93 ± 1.83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18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2456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94.81 ± 32.58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2.04 ± 0.46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0.11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25.36 ± 5.17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452.75 ± 75.93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19.01 ± 2.84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0.94 ± 0.9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19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2500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89.29 ± 32.47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2.24 ± 0.43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0.02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21.6 ± 3.85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386.74 ± 73.89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18.15 ± 1.34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0.98 ± 1.27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  <w:tr w:rsidR="005E5608" w:rsidRPr="000E1F44" w:rsidTr="00A56D36">
        <w:trPr>
          <w:trHeight w:val="315"/>
        </w:trPr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Rwanda</w:t>
            </w:r>
          </w:p>
        </w:tc>
        <w:tc>
          <w:tcPr>
            <w:tcW w:w="562" w:type="dxa"/>
            <w:shd w:val="clear" w:color="auto" w:fill="FFFFFF" w:themeFill="background1"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</w:pPr>
            <w:r w:rsidRPr="000E1F44">
              <w:rPr>
                <w:rFonts w:asciiTheme="minorHAnsi" w:hAnsiTheme="minorHAnsi" w:cs="Segoe UI"/>
                <w:b/>
                <w:bCs/>
                <w:color w:val="555555"/>
                <w:lang w:val="nl-BE" w:eastAsia="nl-BE"/>
              </w:rPr>
              <w:t>20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2522</w:t>
            </w:r>
          </w:p>
        </w:tc>
        <w:tc>
          <w:tcPr>
            <w:tcW w:w="14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86.38 ± 23.57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2.2 ± 0.55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0.12 ± 0.03</w:t>
            </w:r>
          </w:p>
        </w:tc>
        <w:tc>
          <w:tcPr>
            <w:tcW w:w="130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23.02 ± 5.39</w:t>
            </w:r>
          </w:p>
        </w:tc>
        <w:tc>
          <w:tcPr>
            <w:tcW w:w="152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410.66 ± 91.2</w:t>
            </w:r>
          </w:p>
        </w:tc>
        <w:tc>
          <w:tcPr>
            <w:tcW w:w="118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18.45 ± 0.81</w:t>
            </w:r>
          </w:p>
        </w:tc>
        <w:tc>
          <w:tcPr>
            <w:tcW w:w="1140" w:type="dxa"/>
            <w:shd w:val="clear" w:color="auto" w:fill="FFFFFF" w:themeFill="background1"/>
            <w:noWrap/>
            <w:vAlign w:val="center"/>
            <w:hideMark/>
          </w:tcPr>
          <w:p w:rsidR="005E5608" w:rsidRPr="000E1F44" w:rsidRDefault="005E5608" w:rsidP="00A56D36">
            <w:pPr>
              <w:jc w:val="center"/>
              <w:rPr>
                <w:rFonts w:asciiTheme="minorHAnsi" w:hAnsiTheme="minorHAnsi"/>
                <w:color w:val="000000"/>
                <w:lang w:val="nl-BE" w:eastAsia="nl-BE"/>
              </w:rPr>
            </w:pPr>
            <w:r w:rsidRPr="000E1F44">
              <w:rPr>
                <w:rFonts w:asciiTheme="minorHAnsi" w:hAnsiTheme="minorHAnsi"/>
                <w:color w:val="000000"/>
                <w:lang w:val="nl-BE" w:eastAsia="nl-BE"/>
              </w:rPr>
              <w:t>1.36 ± 1.13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5E5608" w:rsidRPr="006B1EE6" w:rsidRDefault="005E5608" w:rsidP="00A56D36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B1EE6">
              <w:rPr>
                <w:rFonts w:cs="Calibri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146" w:type="dxa"/>
            <w:shd w:val="clear" w:color="auto" w:fill="FFFFFF" w:themeFill="background1"/>
          </w:tcPr>
          <w:p w:rsidR="005E5608" w:rsidRPr="000E1F44" w:rsidRDefault="005E5608" w:rsidP="00A56D36">
            <w:pPr>
              <w:rPr>
                <w:rFonts w:asciiTheme="minorHAnsi" w:hAnsiTheme="minorHAnsi"/>
                <w:color w:val="000000"/>
                <w:lang w:val="nl-BE" w:eastAsia="nl-BE"/>
              </w:rPr>
            </w:pPr>
          </w:p>
        </w:tc>
      </w:tr>
    </w:tbl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>Summary of the plot-level (mean and standard deviation) leaf nitrogen content (LNC), leaf phosphorus content (LPC), specific leaf area (SLA) and leaf C</w:t>
      </w:r>
      <w:proofErr w:type="gramStart"/>
      <w:r w:rsidRPr="00740101">
        <w:rPr>
          <w:rFonts w:cstheme="minorHAnsi"/>
          <w:sz w:val="24"/>
          <w:szCs w:val="24"/>
        </w:rPr>
        <w:t>:N</w:t>
      </w:r>
      <w:proofErr w:type="gramEnd"/>
      <w:r w:rsidRPr="00740101">
        <w:rPr>
          <w:rFonts w:cstheme="minorHAnsi"/>
          <w:sz w:val="24"/>
          <w:szCs w:val="24"/>
        </w:rPr>
        <w:t xml:space="preserve">, C:P, N:P and δ15N, along with the total percentage of the basal area (BA) sampled per plot of the Rwanda transect. </w:t>
      </w: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  <w:sectPr w:rsidR="005E5608" w:rsidSect="0060114B">
          <w:pgSz w:w="15840" w:h="12240" w:orient="landscape"/>
          <w:pgMar w:top="1440" w:right="1440" w:bottom="1440" w:left="1440" w:header="432" w:footer="720" w:gutter="0"/>
          <w:lnNumType w:countBy="1" w:restart="continuous"/>
          <w:cols w:space="720"/>
          <w:titlePg/>
          <w:docGrid w:linePitch="360"/>
        </w:sectPr>
      </w:pPr>
    </w:p>
    <w:p w:rsidR="005E5608" w:rsidRDefault="005E5608" w:rsidP="005E5608">
      <w:pPr>
        <w:spacing w:line="480" w:lineRule="auto"/>
        <w:jc w:val="both"/>
        <w:rPr>
          <w:rFonts w:cstheme="minorHAnsi"/>
          <w:sz w:val="24"/>
          <w:szCs w:val="24"/>
          <w:u w:val="single"/>
        </w:rPr>
      </w:pPr>
      <w:r w:rsidRPr="0060114B">
        <w:rPr>
          <w:rFonts w:cstheme="minorHAnsi"/>
          <w:sz w:val="24"/>
          <w:szCs w:val="24"/>
          <w:u w:val="single"/>
        </w:rPr>
        <w:lastRenderedPageBreak/>
        <w:t>Literature cited</w:t>
      </w:r>
      <w:r>
        <w:rPr>
          <w:rFonts w:cstheme="minorHAnsi"/>
          <w:sz w:val="24"/>
          <w:szCs w:val="24"/>
          <w:u w:val="single"/>
        </w:rPr>
        <w:t xml:space="preserve"> Supplementary Information</w:t>
      </w:r>
    </w:p>
    <w:p w:rsidR="005E5608" w:rsidRPr="0060114B" w:rsidRDefault="005E5608" w:rsidP="005E5608">
      <w:pPr>
        <w:spacing w:line="480" w:lineRule="auto"/>
        <w:jc w:val="both"/>
        <w:rPr>
          <w:rFonts w:cstheme="minorHAnsi"/>
          <w:sz w:val="24"/>
          <w:szCs w:val="24"/>
          <w:u w:val="single"/>
        </w:rPr>
      </w:pP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1. </w:t>
      </w:r>
      <w:r w:rsidRPr="00740101">
        <w:rPr>
          <w:rFonts w:cstheme="minorHAnsi"/>
          <w:sz w:val="24"/>
          <w:szCs w:val="24"/>
        </w:rPr>
        <w:tab/>
        <w:t xml:space="preserve">NASA/METI (2011) The Advanced </w:t>
      </w:r>
      <w:proofErr w:type="spellStart"/>
      <w:r w:rsidRPr="00740101">
        <w:rPr>
          <w:rFonts w:cstheme="minorHAnsi"/>
          <w:sz w:val="24"/>
          <w:szCs w:val="24"/>
        </w:rPr>
        <w:t>Spaceborne</w:t>
      </w:r>
      <w:proofErr w:type="spellEnd"/>
      <w:r w:rsidRPr="00740101">
        <w:rPr>
          <w:rFonts w:cstheme="minorHAnsi"/>
          <w:sz w:val="24"/>
          <w:szCs w:val="24"/>
        </w:rPr>
        <w:t xml:space="preserve"> Thermal Emission and Reflection Radiometer (ASTER) Global Digital Elevation Model (GDEM) version 2. Available at: http://earthexplorer.usgs.gov/.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2. </w:t>
      </w:r>
      <w:r w:rsidRPr="00740101">
        <w:rPr>
          <w:rFonts w:cstheme="minorHAnsi"/>
          <w:sz w:val="24"/>
          <w:szCs w:val="24"/>
        </w:rPr>
        <w:tab/>
        <w:t>Asner GP, et al. (2016) Scale dependence of canopy trait distributions along a tropical forest elevation gradient. New Phytol.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3. </w:t>
      </w:r>
      <w:r w:rsidRPr="00740101">
        <w:rPr>
          <w:rFonts w:cstheme="minorHAnsi"/>
          <w:sz w:val="24"/>
          <w:szCs w:val="24"/>
        </w:rPr>
        <w:tab/>
      </w:r>
      <w:proofErr w:type="spellStart"/>
      <w:r w:rsidRPr="00740101">
        <w:rPr>
          <w:rFonts w:cstheme="minorHAnsi"/>
          <w:sz w:val="24"/>
          <w:szCs w:val="24"/>
        </w:rPr>
        <w:t>Kitayama</w:t>
      </w:r>
      <w:proofErr w:type="spellEnd"/>
      <w:r w:rsidRPr="00740101">
        <w:rPr>
          <w:rFonts w:cstheme="minorHAnsi"/>
          <w:sz w:val="24"/>
          <w:szCs w:val="24"/>
        </w:rPr>
        <w:t xml:space="preserve"> K, </w:t>
      </w:r>
      <w:proofErr w:type="spellStart"/>
      <w:r w:rsidRPr="00740101">
        <w:rPr>
          <w:rFonts w:cstheme="minorHAnsi"/>
          <w:sz w:val="24"/>
          <w:szCs w:val="24"/>
        </w:rPr>
        <w:t>Aiba</w:t>
      </w:r>
      <w:proofErr w:type="spellEnd"/>
      <w:r w:rsidRPr="00740101">
        <w:rPr>
          <w:rFonts w:cstheme="minorHAnsi"/>
          <w:sz w:val="24"/>
          <w:szCs w:val="24"/>
        </w:rPr>
        <w:t xml:space="preserve"> S (2002) Ecosystem structure and productivity of tropical rain forests along altitudinal gradients with contrasting soil phosphorus pools on Mount </w:t>
      </w:r>
      <w:proofErr w:type="spellStart"/>
      <w:proofErr w:type="gramStart"/>
      <w:r w:rsidRPr="00740101">
        <w:rPr>
          <w:rFonts w:cstheme="minorHAnsi"/>
          <w:sz w:val="24"/>
          <w:szCs w:val="24"/>
        </w:rPr>
        <w:t>Kinabalu</w:t>
      </w:r>
      <w:proofErr w:type="spellEnd"/>
      <w:r w:rsidRPr="00740101">
        <w:rPr>
          <w:rFonts w:cstheme="minorHAnsi"/>
          <w:sz w:val="24"/>
          <w:szCs w:val="24"/>
        </w:rPr>
        <w:t xml:space="preserve"> ,</w:t>
      </w:r>
      <w:proofErr w:type="gramEnd"/>
      <w:r w:rsidRPr="00740101">
        <w:rPr>
          <w:rFonts w:cstheme="minorHAnsi"/>
          <w:sz w:val="24"/>
          <w:szCs w:val="24"/>
        </w:rPr>
        <w:t xml:space="preserve"> Borneo. J </w:t>
      </w:r>
      <w:proofErr w:type="spellStart"/>
      <w:r w:rsidRPr="00740101">
        <w:rPr>
          <w:rFonts w:cstheme="minorHAnsi"/>
          <w:sz w:val="24"/>
          <w:szCs w:val="24"/>
        </w:rPr>
        <w:t>Ecol</w:t>
      </w:r>
      <w:proofErr w:type="spellEnd"/>
      <w:r w:rsidRPr="00740101">
        <w:rPr>
          <w:rFonts w:cstheme="minorHAnsi"/>
          <w:sz w:val="24"/>
          <w:szCs w:val="24"/>
        </w:rPr>
        <w:t xml:space="preserve"> 90:37–51.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4. </w:t>
      </w:r>
      <w:r w:rsidRPr="00740101">
        <w:rPr>
          <w:rFonts w:cstheme="minorHAnsi"/>
          <w:sz w:val="24"/>
          <w:szCs w:val="24"/>
        </w:rPr>
        <w:tab/>
      </w:r>
      <w:r w:rsidRPr="00AC55AD">
        <w:rPr>
          <w:rFonts w:cstheme="minorHAnsi"/>
          <w:sz w:val="24"/>
          <w:szCs w:val="24"/>
        </w:rPr>
        <w:t xml:space="preserve">Van de </w:t>
      </w:r>
      <w:proofErr w:type="spellStart"/>
      <w:r w:rsidRPr="00AC55AD">
        <w:rPr>
          <w:rFonts w:cstheme="minorHAnsi"/>
          <w:sz w:val="24"/>
          <w:szCs w:val="24"/>
        </w:rPr>
        <w:t>Weg</w:t>
      </w:r>
      <w:proofErr w:type="spellEnd"/>
      <w:r w:rsidRPr="00AC55AD">
        <w:rPr>
          <w:rFonts w:cstheme="minorHAnsi"/>
          <w:sz w:val="24"/>
          <w:szCs w:val="24"/>
        </w:rPr>
        <w:t xml:space="preserve"> MJ, et al. </w:t>
      </w:r>
      <w:r w:rsidRPr="00740101">
        <w:rPr>
          <w:rFonts w:cstheme="minorHAnsi"/>
          <w:sz w:val="24"/>
          <w:szCs w:val="24"/>
        </w:rPr>
        <w:t xml:space="preserve">(2009) Altitudinal variation in leaf mass per unit area, leaf tissue density and foliar nitrogen and phosphorus content along an Amazon-Andes gradient in Peru. Plant </w:t>
      </w:r>
      <w:proofErr w:type="spellStart"/>
      <w:r w:rsidRPr="00740101">
        <w:rPr>
          <w:rFonts w:cstheme="minorHAnsi"/>
          <w:sz w:val="24"/>
          <w:szCs w:val="24"/>
        </w:rPr>
        <w:t>Ecol</w:t>
      </w:r>
      <w:proofErr w:type="spellEnd"/>
      <w:r w:rsidRPr="00740101">
        <w:rPr>
          <w:rFonts w:cstheme="minorHAnsi"/>
          <w:sz w:val="24"/>
          <w:szCs w:val="24"/>
        </w:rPr>
        <w:t xml:space="preserve"> Divers 2(3):243–254.</w:t>
      </w:r>
    </w:p>
    <w:p w:rsidR="005E5608" w:rsidRPr="00740101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  <w:r w:rsidRPr="00740101">
        <w:rPr>
          <w:rFonts w:cstheme="minorHAnsi"/>
          <w:sz w:val="24"/>
          <w:szCs w:val="24"/>
        </w:rPr>
        <w:t xml:space="preserve">5. </w:t>
      </w:r>
      <w:r w:rsidRPr="00740101">
        <w:rPr>
          <w:rFonts w:cstheme="minorHAnsi"/>
          <w:sz w:val="24"/>
          <w:szCs w:val="24"/>
        </w:rPr>
        <w:tab/>
        <w:t xml:space="preserve">Nakagawa S, </w:t>
      </w:r>
      <w:proofErr w:type="spellStart"/>
      <w:r w:rsidRPr="00740101">
        <w:rPr>
          <w:rFonts w:cstheme="minorHAnsi"/>
          <w:sz w:val="24"/>
          <w:szCs w:val="24"/>
        </w:rPr>
        <w:t>Schielzeth</w:t>
      </w:r>
      <w:proofErr w:type="spellEnd"/>
      <w:r w:rsidRPr="00740101">
        <w:rPr>
          <w:rFonts w:cstheme="minorHAnsi"/>
          <w:sz w:val="24"/>
          <w:szCs w:val="24"/>
        </w:rPr>
        <w:t xml:space="preserve"> H (2013) A general and simple method for obtaining R 2 from generalized linear mixed-effects models. Methods </w:t>
      </w:r>
      <w:proofErr w:type="spellStart"/>
      <w:r w:rsidRPr="00740101">
        <w:rPr>
          <w:rFonts w:cstheme="minorHAnsi"/>
          <w:sz w:val="24"/>
          <w:szCs w:val="24"/>
        </w:rPr>
        <w:t>Ecol</w:t>
      </w:r>
      <w:proofErr w:type="spellEnd"/>
      <w:r w:rsidRPr="00740101">
        <w:rPr>
          <w:rFonts w:cstheme="minorHAnsi"/>
          <w:sz w:val="24"/>
          <w:szCs w:val="24"/>
        </w:rPr>
        <w:t xml:space="preserve"> </w:t>
      </w:r>
      <w:proofErr w:type="spellStart"/>
      <w:r w:rsidRPr="00740101">
        <w:rPr>
          <w:rFonts w:cstheme="minorHAnsi"/>
          <w:sz w:val="24"/>
          <w:szCs w:val="24"/>
        </w:rPr>
        <w:t>Evol</w:t>
      </w:r>
      <w:proofErr w:type="spellEnd"/>
      <w:r w:rsidRPr="00740101">
        <w:rPr>
          <w:rFonts w:cstheme="minorHAnsi"/>
          <w:sz w:val="24"/>
          <w:szCs w:val="24"/>
        </w:rPr>
        <w:t xml:space="preserve"> 4(2):133–142.</w:t>
      </w:r>
    </w:p>
    <w:p w:rsidR="005E5608" w:rsidRPr="000911D9" w:rsidRDefault="005E5608" w:rsidP="005E5608">
      <w:pPr>
        <w:spacing w:line="480" w:lineRule="auto"/>
        <w:jc w:val="both"/>
        <w:rPr>
          <w:rFonts w:cstheme="minorHAnsi"/>
          <w:sz w:val="24"/>
          <w:szCs w:val="24"/>
        </w:rPr>
      </w:pPr>
    </w:p>
    <w:p w:rsidR="007B5817" w:rsidRDefault="007B5817">
      <w:bookmarkStart w:id="0" w:name="_GoBack"/>
      <w:bookmarkEnd w:id="0"/>
    </w:p>
    <w:sectPr w:rsidR="007B5817" w:rsidSect="0060114B">
      <w:pgSz w:w="12240" w:h="15840"/>
      <w:pgMar w:top="1440" w:right="1440" w:bottom="1440" w:left="1440" w:header="432" w:footer="720" w:gutter="0"/>
      <w:lnNumType w:countBy="1" w:restart="continuous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AD" w:rsidRDefault="005E56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2042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5AD" w:rsidRDefault="005E56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AC55AD" w:rsidRDefault="005E56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70070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5AD" w:rsidRDefault="005E56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5AD" w:rsidRDefault="005E560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AD" w:rsidRDefault="005E56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AD" w:rsidRDefault="005E56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AD" w:rsidRPr="00204015" w:rsidRDefault="005E5608" w:rsidP="00D73714">
    <w:pPr>
      <w:pStyle w:val="Header"/>
    </w:pPr>
  </w:p>
  <w:p w:rsidR="00AC55AD" w:rsidRDefault="005E5608" w:rsidP="00D73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608"/>
    <w:rsid w:val="005E5608"/>
    <w:rsid w:val="007B370C"/>
    <w:rsid w:val="007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CC709-9678-41D0-82F4-C360363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6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560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E560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5E560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E56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5E5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image" Target="media/image2.jpeg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jpeg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1397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Marijn</dc:creator>
  <cp:keywords/>
  <dc:description/>
  <cp:lastModifiedBy>Marijn</cp:lastModifiedBy>
  <cp:revision>1</cp:revision>
  <dcterms:created xsi:type="dcterms:W3CDTF">2017-04-11T14:14:00Z</dcterms:created>
  <dcterms:modified xsi:type="dcterms:W3CDTF">2017-04-11T14:15:00Z</dcterms:modified>
</cp:coreProperties>
</file>