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34418" w14:textId="77777777" w:rsidR="00DC12B2" w:rsidRPr="002A5BFE" w:rsidRDefault="002A5BFE">
      <w:pPr>
        <w:rPr>
          <w:b/>
          <w:u w:val="single"/>
        </w:rPr>
      </w:pPr>
      <w:r>
        <w:rPr>
          <w:b/>
          <w:u w:val="single"/>
        </w:rPr>
        <w:t xml:space="preserve">S1. </w:t>
      </w:r>
      <w:r w:rsidR="00E342BF" w:rsidRPr="002A5BFE">
        <w:rPr>
          <w:b/>
          <w:u w:val="single"/>
        </w:rPr>
        <w:t>Supplement</w:t>
      </w:r>
      <w:r w:rsidRPr="002A5BFE">
        <w:rPr>
          <w:b/>
          <w:u w:val="single"/>
        </w:rPr>
        <w:t>al Text</w:t>
      </w:r>
    </w:p>
    <w:p w14:paraId="32380D15" w14:textId="77777777" w:rsidR="00DF7A55" w:rsidRDefault="00DF7A55"/>
    <w:p w14:paraId="2B5AB998" w14:textId="77777777" w:rsidR="002A5BFE" w:rsidRDefault="002A5BFE"/>
    <w:p w14:paraId="528EC353" w14:textId="77777777" w:rsidR="002A5BFE" w:rsidRDefault="002A5BFE"/>
    <w:p w14:paraId="49E82F74" w14:textId="77777777" w:rsidR="002A5BFE" w:rsidRPr="002A5BFE" w:rsidRDefault="002A5BFE" w:rsidP="002A5BFE">
      <w:pPr>
        <w:spacing w:line="360" w:lineRule="auto"/>
        <w:ind w:left="720" w:hanging="720"/>
        <w:rPr>
          <w:b/>
          <w:i/>
        </w:rPr>
      </w:pPr>
      <w:r>
        <w:rPr>
          <w:b/>
          <w:i/>
        </w:rPr>
        <w:t>Exploratory Linear Regressions</w:t>
      </w:r>
    </w:p>
    <w:p w14:paraId="6B7148FC" w14:textId="77777777" w:rsidR="002A5BFE" w:rsidRDefault="002A5BFE" w:rsidP="002A5BFE">
      <w:pPr>
        <w:spacing w:line="360" w:lineRule="auto"/>
      </w:pPr>
      <w:r w:rsidRPr="0029466A">
        <w:rPr>
          <w:rFonts w:ascii="Times New Roman" w:hAnsi="Times New Roman" w:cs="Times New Roman"/>
        </w:rPr>
        <w:t>The strongest relationships according to linear regressions performed on each pair of variables exist between porosity and elliptical estimate volume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=0.401), porosity and elliptical estimate surface area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=0.400), porosity and top-half surface area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=0.400), and porosity and major axis length (r</w:t>
      </w:r>
      <w:r w:rsidRPr="0029466A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=0.427, Supplemental Figure 2a</w:t>
      </w:r>
      <w:r w:rsidRPr="0029466A">
        <w:rPr>
          <w:rFonts w:ascii="Times New Roman" w:hAnsi="Times New Roman" w:cs="Times New Roman"/>
        </w:rPr>
        <w:t xml:space="preserve">).  Pore density and average pore size did not strongly correlate with any of the test-size variables in the linear </w:t>
      </w:r>
      <w:r>
        <w:rPr>
          <w:rFonts w:ascii="Times New Roman" w:hAnsi="Times New Roman" w:cs="Times New Roman"/>
        </w:rPr>
        <w:t>models (See supplemental Figure</w:t>
      </w:r>
      <w:r w:rsidRPr="002946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 </w:t>
      </w:r>
      <w:r w:rsidRPr="0029466A">
        <w:rPr>
          <w:rFonts w:ascii="Times New Roman" w:hAnsi="Times New Roman" w:cs="Times New Roman"/>
        </w:rPr>
        <w:t>for pairwise regression plots of pore measurements and other variables).</w:t>
      </w:r>
      <w:r>
        <w:rPr>
          <w:rFonts w:ascii="Times New Roman" w:hAnsi="Times New Roman" w:cs="Times New Roman"/>
        </w:rPr>
        <w:t xml:space="preserve"> </w:t>
      </w:r>
      <w:r w:rsidRPr="0029466A">
        <w:rPr>
          <w:rFonts w:ascii="Times New Roman" w:hAnsi="Times New Roman" w:cs="Times New Roman"/>
        </w:rPr>
        <w:t>When the pore characteristics and morphological variables are regressed wit</w:t>
      </w:r>
      <w:r>
        <w:rPr>
          <w:rFonts w:ascii="Times New Roman" w:hAnsi="Times New Roman" w:cs="Times New Roman"/>
        </w:rPr>
        <w:t>h environmental conditions</w:t>
      </w:r>
      <w:r w:rsidRPr="0029466A">
        <w:rPr>
          <w:rFonts w:ascii="Times New Roman" w:hAnsi="Times New Roman" w:cs="Times New Roman"/>
        </w:rPr>
        <w:t>, the environmental parameter most strongly correlated is sea surface temperature. SST correlates most strongly with porosity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=0.64), pore density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 xml:space="preserve">=0.59), </w:t>
      </w:r>
      <w:proofErr w:type="gramStart"/>
      <w:r w:rsidRPr="0029466A">
        <w:rPr>
          <w:rFonts w:ascii="Times New Roman" w:hAnsi="Times New Roman" w:cs="Times New Roman"/>
        </w:rPr>
        <w:t>pore size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=0.56), major axis length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=0.43), elliptical surface area (r</w:t>
      </w:r>
      <w:r w:rsidRPr="0029466A">
        <w:rPr>
          <w:rFonts w:ascii="Times New Roman" w:hAnsi="Times New Roman" w:cs="Times New Roman"/>
          <w:vertAlign w:val="superscript"/>
        </w:rPr>
        <w:t>2</w:t>
      </w:r>
      <w:r w:rsidRPr="0029466A">
        <w:rPr>
          <w:rFonts w:ascii="Times New Roman" w:hAnsi="Times New Roman" w:cs="Times New Roman"/>
        </w:rPr>
        <w:t>=0.43) and elliptical volume</w:t>
      </w:r>
      <w:proofErr w:type="gramEnd"/>
      <w:r w:rsidRPr="0029466A">
        <w:rPr>
          <w:rFonts w:ascii="Times New Roman" w:hAnsi="Times New Roman" w:cs="Times New Roman"/>
        </w:rPr>
        <w:t xml:space="preserve"> (r</w:t>
      </w:r>
      <w:r w:rsidRPr="0029466A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=0.44</w:t>
      </w:r>
      <w:r w:rsidRPr="0029466A">
        <w:rPr>
          <w:rFonts w:ascii="Times New Roman" w:hAnsi="Times New Roman" w:cs="Times New Roman"/>
        </w:rPr>
        <w:t>).</w:t>
      </w:r>
    </w:p>
    <w:p w14:paraId="7409CF33" w14:textId="77777777" w:rsidR="002A5BFE" w:rsidRDefault="002A5BFE"/>
    <w:p w14:paraId="375EC7D9" w14:textId="77777777" w:rsidR="002A5BFE" w:rsidRDefault="002A5BFE">
      <w:bookmarkStart w:id="0" w:name="_GoBack"/>
      <w:bookmarkEnd w:id="0"/>
    </w:p>
    <w:p w14:paraId="4A258E19" w14:textId="77777777" w:rsidR="00DF7A55" w:rsidRPr="00DF7A55" w:rsidRDefault="00DF7A55">
      <w:pPr>
        <w:rPr>
          <w:b/>
          <w:i/>
        </w:rPr>
      </w:pPr>
      <w:r>
        <w:rPr>
          <w:b/>
          <w:i/>
        </w:rPr>
        <w:t>Slide Scan Height Corrections</w:t>
      </w:r>
    </w:p>
    <w:p w14:paraId="1DC92CC0" w14:textId="77777777" w:rsidR="00DF7A55" w:rsidRDefault="00DF7A55"/>
    <w:p w14:paraId="49C68928" w14:textId="77777777" w:rsidR="00E342BF" w:rsidRDefault="00E342BF" w:rsidP="002A5B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height of spherical reference specimens on each slide (such as </w:t>
      </w:r>
      <w:r>
        <w:rPr>
          <w:rFonts w:ascii="Times New Roman" w:hAnsi="Times New Roman" w:cs="Times New Roman"/>
          <w:i/>
        </w:rPr>
        <w:t xml:space="preserve">Orbulina universa </w:t>
      </w:r>
      <w:r>
        <w:rPr>
          <w:rFonts w:ascii="Times New Roman" w:hAnsi="Times New Roman" w:cs="Times New Roman"/>
        </w:rPr>
        <w:t xml:space="preserve">or the final chambers of </w:t>
      </w:r>
      <w:r>
        <w:rPr>
          <w:rFonts w:ascii="Times New Roman" w:hAnsi="Times New Roman" w:cs="Times New Roman"/>
          <w:i/>
        </w:rPr>
        <w:t xml:space="preserve">Globigerinoides ruber), </w:t>
      </w:r>
      <w:r>
        <w:rPr>
          <w:rFonts w:ascii="Times New Roman" w:hAnsi="Times New Roman" w:cs="Times New Roman"/>
        </w:rPr>
        <w:t xml:space="preserve">were estimated by counting the number of slides from the top of the object to the last visible plane (an approximate mid-point) and adding that number of slices to the bottom. Extraneous planes were identified, counted, </w:t>
      </w:r>
      <w:proofErr w:type="gramStart"/>
      <w:r>
        <w:rPr>
          <w:rFonts w:ascii="Times New Roman" w:hAnsi="Times New Roman" w:cs="Times New Roman"/>
        </w:rPr>
        <w:t>and</w:t>
      </w:r>
      <w:proofErr w:type="gramEnd"/>
      <w:r>
        <w:rPr>
          <w:rFonts w:ascii="Times New Roman" w:hAnsi="Times New Roman" w:cs="Times New Roman"/>
        </w:rPr>
        <w:t xml:space="preserve"> subtracted from the total height by multiplying the number of additional planes by the step size of the z-stacks (11.1μm).</w:t>
      </w:r>
    </w:p>
    <w:p w14:paraId="6088A157" w14:textId="77777777" w:rsidR="00E342BF" w:rsidRDefault="00E342BF" w:rsidP="00E342BF">
      <w:pPr>
        <w:spacing w:line="360" w:lineRule="auto"/>
        <w:rPr>
          <w:rFonts w:ascii="Times New Roman" w:hAnsi="Times New Roman" w:cs="Times New Roman"/>
          <w:b/>
          <w:i/>
        </w:rPr>
      </w:pPr>
    </w:p>
    <w:p w14:paraId="74A27054" w14:textId="77777777" w:rsidR="00E342BF" w:rsidRPr="005F2405" w:rsidRDefault="00E342BF" w:rsidP="00E342BF">
      <w:pPr>
        <w:spacing w:line="36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Orientation and Surface Area/</w:t>
      </w:r>
      <w:r w:rsidRPr="005F2405">
        <w:rPr>
          <w:rFonts w:ascii="Times New Roman" w:hAnsi="Times New Roman" w:cs="Times New Roman"/>
          <w:b/>
          <w:i/>
        </w:rPr>
        <w:t>Volume Proxy</w:t>
      </w:r>
      <w:r>
        <w:rPr>
          <w:rFonts w:ascii="Times New Roman" w:hAnsi="Times New Roman" w:cs="Times New Roman"/>
          <w:b/>
          <w:i/>
        </w:rPr>
        <w:t xml:space="preserve"> Selection</w:t>
      </w:r>
    </w:p>
    <w:p w14:paraId="16BC2BAC" w14:textId="77777777" w:rsidR="00E342BF" w:rsidRPr="00B137C6" w:rsidRDefault="00E342BF" w:rsidP="00E15D5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Specimens were imaged from two views, spiral-side-up and umbilical-side-up. For many species the disparities in the measurements were expected to be negligible, but they could be more significant in species with more highly trochospiral or pyramidal shapes. S</w:t>
      </w:r>
      <w:r w:rsidRPr="00214662">
        <w:rPr>
          <w:rFonts w:ascii="Times New Roman" w:hAnsi="Times New Roman" w:cs="Times New Roman"/>
        </w:rPr>
        <w:t>piral</w:t>
      </w:r>
      <w:r>
        <w:rPr>
          <w:rFonts w:ascii="Times New Roman" w:hAnsi="Times New Roman" w:cs="Times New Roman"/>
        </w:rPr>
        <w:t xml:space="preserve"> and </w:t>
      </w:r>
      <w:r w:rsidRPr="00214662">
        <w:rPr>
          <w:rFonts w:ascii="Times New Roman" w:hAnsi="Times New Roman" w:cs="Times New Roman"/>
        </w:rPr>
        <w:t>umbilical side</w:t>
      </w:r>
      <w:r>
        <w:rPr>
          <w:rFonts w:ascii="Times New Roman" w:hAnsi="Times New Roman" w:cs="Times New Roman"/>
        </w:rPr>
        <w:t xml:space="preserve"> measurements were </w:t>
      </w:r>
      <w:r w:rsidRPr="00214662">
        <w:rPr>
          <w:rFonts w:ascii="Times New Roman" w:hAnsi="Times New Roman" w:cs="Times New Roman"/>
        </w:rPr>
        <w:t>compar</w:t>
      </w:r>
      <w:r>
        <w:rPr>
          <w:rFonts w:ascii="Times New Roman" w:hAnsi="Times New Roman" w:cs="Times New Roman"/>
        </w:rPr>
        <w:t>ed</w:t>
      </w:r>
      <w:r w:rsidRPr="002146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2A5BFE">
        <w:rPr>
          <w:rFonts w:ascii="Times New Roman" w:hAnsi="Times New Roman" w:cs="Times New Roman"/>
        </w:rPr>
        <w:t xml:space="preserve">Supplemental </w:t>
      </w:r>
      <w:r w:rsidRPr="00214662">
        <w:rPr>
          <w:rFonts w:ascii="Times New Roman" w:hAnsi="Times New Roman" w:cs="Times New Roman"/>
        </w:rPr>
        <w:t>Fi</w:t>
      </w:r>
      <w:r w:rsidR="002A5BFE">
        <w:rPr>
          <w:rFonts w:ascii="Times New Roman" w:hAnsi="Times New Roman" w:cs="Times New Roman"/>
        </w:rPr>
        <w:t>gure 5</w:t>
      </w:r>
      <w:r>
        <w:rPr>
          <w:rFonts w:ascii="Times New Roman" w:hAnsi="Times New Roman" w:cs="Times New Roman"/>
        </w:rPr>
        <w:t>)</w:t>
      </w:r>
      <w:r w:rsidRPr="002146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</w:t>
      </w:r>
      <w:r w:rsidRPr="00214662">
        <w:rPr>
          <w:rFonts w:ascii="Times New Roman" w:hAnsi="Times New Roman" w:cs="Times New Roman"/>
        </w:rPr>
        <w:t xml:space="preserve">used to understand which two-and-three dimensional measurements were the most </w:t>
      </w:r>
      <w:r>
        <w:rPr>
          <w:rFonts w:ascii="Times New Roman" w:hAnsi="Times New Roman" w:cs="Times New Roman"/>
        </w:rPr>
        <w:t xml:space="preserve">affected by </w:t>
      </w:r>
      <w:r w:rsidRPr="00214662">
        <w:rPr>
          <w:rFonts w:ascii="Times New Roman" w:hAnsi="Times New Roman" w:cs="Times New Roman"/>
        </w:rPr>
        <w:t xml:space="preserve">spiral/umbilical side </w:t>
      </w:r>
      <w:r>
        <w:rPr>
          <w:rFonts w:ascii="Times New Roman" w:hAnsi="Times New Roman" w:cs="Times New Roman"/>
        </w:rPr>
        <w:t>orientation</w:t>
      </w:r>
      <w:r w:rsidRPr="002146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We found that elliptical estimate surface area was the </w:t>
      </w:r>
      <w:r>
        <w:rPr>
          <w:rFonts w:ascii="Times New Roman" w:hAnsi="Times New Roman" w:cs="Times New Roman"/>
        </w:rPr>
        <w:lastRenderedPageBreak/>
        <w:t>parameter least affected by orientation. The equation of the linear regression for the elliptical surface area measurement had the smallest deviation from a direct correlation (y= 6.9 + 0.97x). Top-half volume and surface area was the most sensitive to orientation, the regression of the measurements from the two views has the most scatter (r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=0.609) and the highest deviation from a 1-to-1 relationship (y=86.9 +0.699x). The two dimensional measurements of cross-sectional area and major axis length were similarly affected by orientation (y= 20.6 + 0.96x and y= 36 + 0.93x). To reduce orientation based error, umbilical side views were preferentially used in the statistical analyses below. </w:t>
      </w:r>
    </w:p>
    <w:p w14:paraId="4BE4215A" w14:textId="77777777" w:rsidR="00E342BF" w:rsidRDefault="00E342BF"/>
    <w:p w14:paraId="09E0588F" w14:textId="77777777" w:rsidR="00D87CA2" w:rsidRDefault="00D87CA2"/>
    <w:sectPr w:rsidR="00D87CA2" w:rsidSect="00DC12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BF"/>
    <w:rsid w:val="002A5BFE"/>
    <w:rsid w:val="00D87CA2"/>
    <w:rsid w:val="00DC12B2"/>
    <w:rsid w:val="00DF7A55"/>
    <w:rsid w:val="00E15D5F"/>
    <w:rsid w:val="00E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46FF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414</Words>
  <Characters>2362</Characters>
  <Application>Microsoft Macintosh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Burke</dc:creator>
  <cp:keywords/>
  <dc:description/>
  <cp:lastModifiedBy>Jana Burke</cp:lastModifiedBy>
  <cp:revision>2</cp:revision>
  <dcterms:created xsi:type="dcterms:W3CDTF">2018-02-14T20:55:00Z</dcterms:created>
  <dcterms:modified xsi:type="dcterms:W3CDTF">2018-02-22T20:52:00Z</dcterms:modified>
</cp:coreProperties>
</file>