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E7F" w:rsidRPr="001C2D28" w:rsidRDefault="00495E7F" w:rsidP="00495E7F">
      <w:pPr>
        <w:pStyle w:val="Heading2"/>
        <w:spacing w:line="480" w:lineRule="auto"/>
        <w:rPr>
          <w:rFonts w:asciiTheme="minorHAnsi" w:hAnsiTheme="minorHAnsi" w:cstheme="minorHAnsi"/>
          <w:lang w:val="en-GB"/>
        </w:rPr>
      </w:pPr>
      <w:bookmarkStart w:id="0" w:name="__UnoMark__347_2563305251"/>
      <w:bookmarkEnd w:id="0"/>
      <w:r w:rsidRPr="001C2D28">
        <w:rPr>
          <w:rFonts w:asciiTheme="minorHAnsi" w:hAnsiTheme="minorHAnsi" w:cstheme="minorHAnsi"/>
          <w:lang w:val="en-GB"/>
        </w:rPr>
        <w:t>Supplementary information</w:t>
      </w:r>
    </w:p>
    <w:p w:rsidR="007C1769" w:rsidRDefault="00495E7F" w:rsidP="007C1769">
      <w:pPr>
        <w:pStyle w:val="NormalWeb"/>
        <w:spacing w:before="0" w:beforeAutospacing="0" w:after="0" w:line="480" w:lineRule="auto"/>
      </w:pPr>
      <w:r w:rsidRPr="001C2D28">
        <w:rPr>
          <w:rFonts w:asciiTheme="minorHAnsi" w:hAnsiTheme="minorHAnsi" w:cstheme="minorHAnsi"/>
          <w:b/>
          <w:bCs/>
          <w:lang w:val="en-GB"/>
        </w:rPr>
        <w:t>Figure S1</w:t>
      </w:r>
      <w:r w:rsidRPr="001C2D28">
        <w:rPr>
          <w:rFonts w:asciiTheme="minorHAnsi" w:hAnsiTheme="minorHAnsi" w:cstheme="minorHAnsi"/>
          <w:b/>
          <w:bCs/>
          <w:lang w:val="en-GB"/>
        </w:rPr>
        <w:t>.</w:t>
      </w:r>
      <w:r w:rsidRPr="001C2D28">
        <w:rPr>
          <w:rFonts w:asciiTheme="minorHAnsi" w:hAnsiTheme="minorHAnsi" w:cstheme="minorHAnsi"/>
          <w:lang w:val="en-GB"/>
        </w:rPr>
        <w:t xml:space="preserve"> Geographical location of the study sites. Isoclines on the map showing aridity index (P/PET). The pictures show the sparsely vegetated rocky slopes at the arid site (Sede Boqer) and the bare rocky slopes at the hyperarid site (Uvda Valley)</w:t>
      </w:r>
      <w:r w:rsidRPr="001C2D28">
        <w:rPr>
          <w:rFonts w:asciiTheme="minorHAnsi" w:hAnsiTheme="minorHAnsi" w:cstheme="minorHAnsi"/>
          <w:lang w:val="en-GB"/>
        </w:rPr>
        <w:t>.</w:t>
      </w:r>
    </w:p>
    <w:p w:rsidR="00841E23" w:rsidRPr="00841E23" w:rsidRDefault="00841E23" w:rsidP="007C1769">
      <w:pPr>
        <w:pStyle w:val="NormalWeb"/>
        <w:spacing w:before="0" w:beforeAutospacing="0" w:after="0" w:line="480" w:lineRule="auto"/>
      </w:pPr>
    </w:p>
    <w:p w:rsidR="00495E7F" w:rsidRDefault="00495E7F" w:rsidP="007C1769">
      <w:pPr>
        <w:pStyle w:val="NormalWeb"/>
        <w:spacing w:before="0" w:beforeAutospacing="0" w:after="0" w:line="480" w:lineRule="auto"/>
        <w:rPr>
          <w:rFonts w:asciiTheme="minorHAnsi" w:hAnsiTheme="minorHAnsi" w:cstheme="minorHAnsi"/>
          <w:lang w:val="en-GB" w:eastAsia="zh-CN"/>
        </w:rPr>
      </w:pPr>
      <w:r w:rsidRPr="001C2D28">
        <w:rPr>
          <w:rFonts w:asciiTheme="minorHAnsi" w:hAnsiTheme="minorHAnsi" w:cstheme="minorHAnsi"/>
          <w:b/>
          <w:bCs/>
          <w:lang w:val="en-GB"/>
        </w:rPr>
        <w:t>Figure S2.</w:t>
      </w:r>
      <w:r w:rsidR="00234FF5" w:rsidRPr="001C2D28">
        <w:rPr>
          <w:rFonts w:asciiTheme="minorHAnsi" w:hAnsiTheme="minorHAnsi" w:cstheme="minorHAnsi"/>
          <w:b/>
          <w:bCs/>
          <w:lang w:val="en-GB"/>
        </w:rPr>
        <w:t xml:space="preserve"> </w:t>
      </w:r>
      <w:r w:rsidR="001C2D28" w:rsidRPr="001C2D28">
        <w:rPr>
          <w:rFonts w:asciiTheme="minorHAnsi" w:hAnsiTheme="minorHAnsi" w:cstheme="minorHAnsi"/>
          <w:lang w:val="en-GB" w:eastAsia="zh-CN"/>
        </w:rPr>
        <w:t xml:space="preserve">Detection of differentially abundant OTUs </w:t>
      </w:r>
      <w:r w:rsidR="001C2D28">
        <w:rPr>
          <w:rFonts w:asciiTheme="minorHAnsi" w:hAnsiTheme="minorHAnsi" w:cstheme="minorHAnsi"/>
          <w:lang w:val="en-GB" w:eastAsia="zh-CN"/>
        </w:rPr>
        <w:t>between each sample-type pair</w:t>
      </w:r>
      <w:r w:rsidR="001C2D28" w:rsidRPr="001C2D28">
        <w:rPr>
          <w:rFonts w:asciiTheme="minorHAnsi" w:hAnsiTheme="minorHAnsi" w:cstheme="minorHAnsi"/>
          <w:lang w:val="en-GB" w:eastAsia="zh-CN"/>
        </w:rPr>
        <w:t xml:space="preserve"> using ALDEx2</w:t>
      </w:r>
      <w:r w:rsidR="001C2D28">
        <w:rPr>
          <w:rFonts w:asciiTheme="minorHAnsi" w:hAnsiTheme="minorHAnsi" w:cstheme="minorHAnsi"/>
          <w:lang w:val="en-GB" w:eastAsia="zh-CN"/>
        </w:rPr>
        <w:t xml:space="preserve">. Each </w:t>
      </w:r>
      <w:r w:rsidR="00A120DD">
        <w:rPr>
          <w:rFonts w:asciiTheme="minorHAnsi" w:hAnsiTheme="minorHAnsi" w:cstheme="minorHAnsi"/>
          <w:lang w:val="en-GB" w:eastAsia="zh-CN"/>
        </w:rPr>
        <w:t>circle</w:t>
      </w:r>
      <w:r w:rsidR="001C2D28">
        <w:rPr>
          <w:rFonts w:asciiTheme="minorHAnsi" w:hAnsiTheme="minorHAnsi" w:cstheme="minorHAnsi"/>
          <w:lang w:val="en-GB" w:eastAsia="zh-CN"/>
        </w:rPr>
        <w:t xml:space="preserve"> denotes a single OTU and its size is its average relative abundance across all samples. X-axis shows the </w:t>
      </w:r>
      <w:r w:rsidR="00A120DD">
        <w:rPr>
          <w:rFonts w:asciiTheme="minorHAnsi" w:hAnsiTheme="minorHAnsi" w:cstheme="minorHAnsi"/>
          <w:lang w:val="en-GB" w:eastAsia="zh-CN"/>
        </w:rPr>
        <w:t xml:space="preserve">classification of each OUT while the Y-axis shows the effect size in terms of log2 fold difference in relative abundance between each </w:t>
      </w:r>
      <w:r w:rsidR="00A120DD">
        <w:rPr>
          <w:rFonts w:asciiTheme="minorHAnsi" w:hAnsiTheme="minorHAnsi" w:cstheme="minorHAnsi"/>
          <w:lang w:val="en-GB" w:eastAsia="zh-CN"/>
        </w:rPr>
        <w:t>sample-type pair</w:t>
      </w:r>
      <w:r w:rsidR="00A120DD">
        <w:rPr>
          <w:rFonts w:asciiTheme="minorHAnsi" w:hAnsiTheme="minorHAnsi" w:cstheme="minorHAnsi"/>
          <w:lang w:val="en-GB" w:eastAsia="zh-CN"/>
        </w:rPr>
        <w:t>. Red circles are OTUs that show significant differential abundance at P &lt; 0.05.</w:t>
      </w:r>
    </w:p>
    <w:p w:rsidR="00841E23" w:rsidRPr="001C2D28" w:rsidRDefault="00841E23" w:rsidP="00841E23">
      <w:pPr>
        <w:pStyle w:val="NormalWeb"/>
        <w:spacing w:before="0" w:beforeAutospacing="0" w:after="0" w:line="480" w:lineRule="auto"/>
        <w:rPr>
          <w:rFonts w:asciiTheme="minorHAnsi" w:hAnsiTheme="minorHAnsi" w:cstheme="minorHAnsi"/>
          <w:lang w:val="en-GB"/>
        </w:rPr>
      </w:pPr>
    </w:p>
    <w:p w:rsidR="00495E7F" w:rsidRDefault="00495E7F" w:rsidP="007C1769">
      <w:pPr>
        <w:bidi w:val="0"/>
        <w:spacing w:after="0"/>
        <w:ind w:firstLine="0"/>
        <w:rPr>
          <w:rFonts w:asciiTheme="minorHAnsi" w:hAnsiTheme="minorHAnsi" w:cstheme="minorHAnsi"/>
          <w:sz w:val="24"/>
          <w:szCs w:val="24"/>
          <w:lang w:val="en-GB"/>
        </w:rPr>
      </w:pPr>
      <w:r w:rsidRPr="001C2D28">
        <w:rPr>
          <w:rFonts w:asciiTheme="minorHAnsi" w:hAnsiTheme="minorHAnsi" w:cstheme="minorHAnsi"/>
          <w:b/>
          <w:bCs/>
          <w:sz w:val="24"/>
          <w:szCs w:val="24"/>
          <w:lang w:val="en-GB"/>
        </w:rPr>
        <w:t xml:space="preserve">Table S1. </w:t>
      </w:r>
      <w:r w:rsidRPr="001C2D28">
        <w:rPr>
          <w:rFonts w:asciiTheme="minorHAnsi" w:hAnsiTheme="minorHAnsi" w:cstheme="minorHAnsi"/>
          <w:sz w:val="24"/>
          <w:szCs w:val="24"/>
          <w:lang w:val="en-GB"/>
        </w:rPr>
        <w:t>Characteristics of the two sampling sit</w:t>
      </w:r>
      <w:r w:rsidRPr="001C2D28">
        <w:rPr>
          <w:rFonts w:asciiTheme="minorHAnsi" w:hAnsiTheme="minorHAnsi" w:cstheme="minorHAnsi"/>
          <w:sz w:val="24"/>
          <w:szCs w:val="24"/>
          <w:lang w:val="en-GB"/>
        </w:rPr>
        <w:t>es (below).</w:t>
      </w:r>
    </w:p>
    <w:p w:rsidR="00841E23" w:rsidRPr="001C2D28" w:rsidRDefault="00841E23" w:rsidP="00841E23">
      <w:pPr>
        <w:bidi w:val="0"/>
        <w:spacing w:after="0"/>
        <w:ind w:firstLine="0"/>
        <w:rPr>
          <w:rFonts w:asciiTheme="minorHAnsi" w:hAnsiTheme="minorHAnsi" w:cstheme="minorHAnsi"/>
          <w:sz w:val="24"/>
          <w:szCs w:val="24"/>
          <w:lang w:val="en-GB"/>
        </w:rPr>
      </w:pPr>
    </w:p>
    <w:p w:rsidR="00495E7F" w:rsidRDefault="00495E7F" w:rsidP="007C1769">
      <w:pPr>
        <w:bidi w:val="0"/>
        <w:spacing w:after="0"/>
        <w:ind w:firstLine="0"/>
        <w:rPr>
          <w:rFonts w:asciiTheme="minorHAnsi" w:hAnsiTheme="minorHAnsi" w:cstheme="minorHAnsi"/>
          <w:sz w:val="24"/>
          <w:szCs w:val="24"/>
          <w:lang w:val="en-GB"/>
        </w:rPr>
      </w:pPr>
      <w:r w:rsidRPr="001C2D28">
        <w:rPr>
          <w:rFonts w:asciiTheme="minorHAnsi" w:hAnsiTheme="minorHAnsi" w:cstheme="minorHAnsi"/>
          <w:b/>
          <w:bCs/>
          <w:sz w:val="24"/>
          <w:szCs w:val="24"/>
          <w:lang w:val="en-GB"/>
        </w:rPr>
        <w:t>Table S2</w:t>
      </w:r>
      <w:r w:rsidRPr="001C2D28">
        <w:rPr>
          <w:rFonts w:asciiTheme="minorHAnsi" w:hAnsiTheme="minorHAnsi" w:cstheme="minorHAnsi"/>
          <w:b/>
          <w:bCs/>
          <w:sz w:val="24"/>
          <w:szCs w:val="24"/>
          <w:lang w:val="en-GB"/>
        </w:rPr>
        <w:t>.</w:t>
      </w:r>
      <w:r w:rsidRPr="001C2D28">
        <w:rPr>
          <w:rFonts w:asciiTheme="minorHAnsi" w:hAnsiTheme="minorHAnsi" w:cstheme="minorHAnsi"/>
          <w:b/>
          <w:bCs/>
          <w:sz w:val="24"/>
          <w:szCs w:val="24"/>
          <w:lang w:val="en-GB"/>
        </w:rPr>
        <w:t xml:space="preserve"> </w:t>
      </w:r>
      <w:r w:rsidRPr="001C2D28">
        <w:rPr>
          <w:rFonts w:asciiTheme="minorHAnsi" w:hAnsiTheme="minorHAnsi" w:cstheme="minorHAnsi"/>
          <w:sz w:val="24"/>
          <w:szCs w:val="24"/>
          <w:lang w:val="en-GB"/>
        </w:rPr>
        <w:t>Bacterial richness and diversity estimates of the samples (Excel table).</w:t>
      </w:r>
    </w:p>
    <w:p w:rsidR="00841E23" w:rsidRPr="001C2D28" w:rsidRDefault="00841E23" w:rsidP="00841E23">
      <w:pPr>
        <w:bidi w:val="0"/>
        <w:spacing w:after="0"/>
        <w:ind w:firstLine="0"/>
        <w:rPr>
          <w:rFonts w:asciiTheme="minorHAnsi" w:hAnsiTheme="minorHAnsi" w:cstheme="minorHAnsi"/>
          <w:b/>
          <w:bCs/>
          <w:sz w:val="24"/>
          <w:szCs w:val="24"/>
          <w:lang w:val="en-GB"/>
        </w:rPr>
      </w:pPr>
    </w:p>
    <w:p w:rsidR="00495E7F" w:rsidRDefault="00495E7F" w:rsidP="007C1769">
      <w:pPr>
        <w:bidi w:val="0"/>
        <w:spacing w:after="0"/>
        <w:ind w:firstLine="0"/>
        <w:rPr>
          <w:rFonts w:asciiTheme="minorHAnsi" w:hAnsiTheme="minorHAnsi" w:cstheme="minorHAnsi"/>
          <w:sz w:val="24"/>
          <w:szCs w:val="24"/>
          <w:lang w:val="en-GB"/>
        </w:rPr>
      </w:pPr>
      <w:r w:rsidRPr="001C2D28">
        <w:rPr>
          <w:rFonts w:asciiTheme="minorHAnsi" w:hAnsiTheme="minorHAnsi" w:cstheme="minorHAnsi"/>
          <w:b/>
          <w:bCs/>
          <w:sz w:val="24"/>
          <w:szCs w:val="24"/>
          <w:lang w:val="en-GB"/>
        </w:rPr>
        <w:t>Table S3</w:t>
      </w:r>
      <w:r w:rsidRPr="001C2D28">
        <w:rPr>
          <w:rFonts w:asciiTheme="minorHAnsi" w:hAnsiTheme="minorHAnsi" w:cstheme="minorHAnsi"/>
          <w:b/>
          <w:bCs/>
          <w:sz w:val="24"/>
          <w:szCs w:val="24"/>
          <w:lang w:val="en-GB"/>
        </w:rPr>
        <w:t>.</w:t>
      </w:r>
      <w:r w:rsidRPr="001C2D28">
        <w:rPr>
          <w:rFonts w:asciiTheme="minorHAnsi" w:hAnsiTheme="minorHAnsi" w:cstheme="minorHAnsi"/>
          <w:b/>
          <w:bCs/>
          <w:sz w:val="24"/>
          <w:szCs w:val="24"/>
          <w:lang w:val="en-GB"/>
        </w:rPr>
        <w:t xml:space="preserve"> </w:t>
      </w:r>
      <w:r w:rsidRPr="001C2D28">
        <w:rPr>
          <w:rFonts w:asciiTheme="minorHAnsi" w:hAnsiTheme="minorHAnsi" w:cstheme="minorHAnsi"/>
          <w:sz w:val="24"/>
          <w:szCs w:val="24"/>
          <w:lang w:val="en-GB"/>
        </w:rPr>
        <w:t xml:space="preserve">Variance partitioning and testing of the differences in the bacterial communities between the samples </w:t>
      </w:r>
      <w:r w:rsidRPr="001C2D28">
        <w:rPr>
          <w:rFonts w:asciiTheme="minorHAnsi" w:hAnsiTheme="minorHAnsi" w:cstheme="minorHAnsi"/>
          <w:sz w:val="24"/>
          <w:szCs w:val="24"/>
          <w:lang w:val="en-GB"/>
        </w:rPr>
        <w:t>(Excel table)</w:t>
      </w:r>
      <w:r w:rsidRPr="001C2D28">
        <w:rPr>
          <w:rFonts w:asciiTheme="minorHAnsi" w:hAnsiTheme="minorHAnsi" w:cstheme="minorHAnsi"/>
          <w:sz w:val="24"/>
          <w:szCs w:val="24"/>
          <w:lang w:val="en-GB"/>
        </w:rPr>
        <w:t>.</w:t>
      </w:r>
    </w:p>
    <w:p w:rsidR="00841E23" w:rsidRPr="001C2D28" w:rsidRDefault="00841E23" w:rsidP="00841E23">
      <w:pPr>
        <w:bidi w:val="0"/>
        <w:spacing w:after="0"/>
        <w:ind w:firstLine="0"/>
        <w:rPr>
          <w:rFonts w:asciiTheme="minorHAnsi" w:hAnsiTheme="minorHAnsi" w:cstheme="minorHAnsi"/>
          <w:sz w:val="24"/>
          <w:szCs w:val="24"/>
          <w:lang w:val="en-GB"/>
        </w:rPr>
      </w:pPr>
      <w:bookmarkStart w:id="1" w:name="_GoBack"/>
      <w:bookmarkEnd w:id="1"/>
    </w:p>
    <w:p w:rsidR="00495E7F" w:rsidRPr="001C2D28" w:rsidRDefault="00495E7F" w:rsidP="007C1769">
      <w:pPr>
        <w:bidi w:val="0"/>
        <w:spacing w:after="0"/>
        <w:ind w:firstLine="0"/>
        <w:rPr>
          <w:rFonts w:asciiTheme="minorHAnsi" w:hAnsiTheme="minorHAnsi" w:cstheme="minorHAnsi"/>
          <w:sz w:val="24"/>
          <w:szCs w:val="24"/>
          <w:lang w:val="en-GB"/>
        </w:rPr>
        <w:sectPr w:rsidR="00495E7F" w:rsidRPr="001C2D28" w:rsidSect="00DA2BB5">
          <w:pgSz w:w="11906" w:h="16838"/>
          <w:pgMar w:top="1440" w:right="1440" w:bottom="1440" w:left="1440" w:header="0" w:footer="0" w:gutter="0"/>
          <w:lnNumType w:countBy="1" w:restart="continuous"/>
          <w:cols w:space="720"/>
          <w:formProt w:val="0"/>
          <w:docGrid w:linePitch="360" w:charSpace="4096"/>
        </w:sectPr>
      </w:pPr>
      <w:r w:rsidRPr="001C2D28">
        <w:rPr>
          <w:rFonts w:asciiTheme="minorHAnsi" w:hAnsiTheme="minorHAnsi" w:cstheme="minorHAnsi"/>
          <w:b/>
          <w:bCs/>
          <w:sz w:val="24"/>
          <w:szCs w:val="24"/>
          <w:lang w:val="en-GB"/>
        </w:rPr>
        <w:t>Table S4</w:t>
      </w:r>
      <w:r w:rsidRPr="001C2D28">
        <w:rPr>
          <w:rFonts w:asciiTheme="minorHAnsi" w:hAnsiTheme="minorHAnsi" w:cstheme="minorHAnsi"/>
          <w:b/>
          <w:bCs/>
          <w:sz w:val="24"/>
          <w:szCs w:val="24"/>
          <w:lang w:val="en-GB"/>
        </w:rPr>
        <w:t>.</w:t>
      </w:r>
      <w:r w:rsidRPr="001C2D28">
        <w:rPr>
          <w:rFonts w:asciiTheme="minorHAnsi" w:hAnsiTheme="minorHAnsi" w:cstheme="minorHAnsi"/>
          <w:b/>
          <w:bCs/>
          <w:sz w:val="24"/>
          <w:szCs w:val="24"/>
          <w:lang w:val="en-GB"/>
        </w:rPr>
        <w:t xml:space="preserve"> </w:t>
      </w:r>
      <w:r w:rsidRPr="001C2D28">
        <w:rPr>
          <w:rFonts w:asciiTheme="minorHAnsi" w:hAnsiTheme="minorHAnsi" w:cstheme="minorHAnsi"/>
          <w:sz w:val="24"/>
          <w:szCs w:val="24"/>
          <w:lang w:val="en-GB"/>
        </w:rPr>
        <w:t>Differences in phyla and order composition between the sample types tested</w:t>
      </w:r>
      <w:r w:rsidRPr="001C2D28">
        <w:rPr>
          <w:rFonts w:asciiTheme="minorHAnsi" w:hAnsiTheme="minorHAnsi" w:cstheme="minorHAnsi"/>
          <w:sz w:val="24"/>
          <w:szCs w:val="24"/>
          <w:lang w:val="en-GB"/>
        </w:rPr>
        <w:t xml:space="preserve"> </w:t>
      </w:r>
      <w:r w:rsidRPr="001C2D28">
        <w:rPr>
          <w:rFonts w:asciiTheme="minorHAnsi" w:hAnsiTheme="minorHAnsi" w:cstheme="minorHAnsi"/>
          <w:sz w:val="24"/>
          <w:szCs w:val="24"/>
          <w:lang w:val="en-GB"/>
        </w:rPr>
        <w:t>(Excel table).</w:t>
      </w:r>
    </w:p>
    <w:p w:rsidR="002B3B24" w:rsidRPr="001C2D28" w:rsidRDefault="00841E23">
      <w:pPr>
        <w:bidi w:val="0"/>
        <w:spacing w:after="0"/>
        <w:rPr>
          <w:rFonts w:asciiTheme="minorHAnsi" w:hAnsiTheme="minorHAnsi" w:cstheme="minorHAnsi"/>
          <w:b/>
          <w:bCs/>
        </w:rPr>
      </w:pPr>
      <w:r w:rsidRPr="001C2D28">
        <w:rPr>
          <w:rFonts w:asciiTheme="minorHAnsi" w:hAnsiTheme="minorHAnsi" w:cstheme="minorHAnsi"/>
          <w:b/>
          <w:bCs/>
          <w:sz w:val="24"/>
          <w:szCs w:val="24"/>
          <w:lang w:val="en-GB"/>
        </w:rPr>
        <w:lastRenderedPageBreak/>
        <w:t>Table S1. Characteristics of the two sampling sites</w:t>
      </w:r>
    </w:p>
    <w:tbl>
      <w:tblPr>
        <w:tblStyle w:val="TableGrid"/>
        <w:tblW w:w="12304" w:type="dxa"/>
        <w:tblLayout w:type="fixed"/>
        <w:tblCellMar>
          <w:left w:w="118" w:type="dxa"/>
        </w:tblCellMar>
        <w:tblLook w:val="04A0" w:firstRow="1" w:lastRow="0" w:firstColumn="1" w:lastColumn="0" w:noHBand="0" w:noVBand="1"/>
      </w:tblPr>
      <w:tblGrid>
        <w:gridCol w:w="3718"/>
        <w:gridCol w:w="2393"/>
        <w:gridCol w:w="2827"/>
        <w:gridCol w:w="3366"/>
      </w:tblGrid>
      <w:tr w:rsidR="002B3B24" w:rsidRPr="001C2D28" w:rsidTr="00CE37D6">
        <w:trPr>
          <w:trHeight w:val="20"/>
          <w:tblHeader/>
        </w:trPr>
        <w:tc>
          <w:tcPr>
            <w:tcW w:w="3718" w:type="dxa"/>
            <w:shd w:val="clear" w:color="auto" w:fill="auto"/>
            <w:vAlign w:val="center"/>
          </w:tcPr>
          <w:p w:rsidR="002B3B24" w:rsidRPr="001C2D28" w:rsidRDefault="00841E23">
            <w:pPr>
              <w:bidi w:val="0"/>
              <w:spacing w:after="0" w:line="240" w:lineRule="auto"/>
              <w:rPr>
                <w:rFonts w:asciiTheme="minorHAnsi" w:eastAsiaTheme="majorEastAsia" w:hAnsiTheme="minorHAnsi" w:cstheme="minorHAnsi"/>
                <w:b/>
                <w:bCs/>
                <w:i/>
                <w:iCs/>
                <w:color w:val="4F81BD" w:themeColor="accent1"/>
                <w:lang w:val="en-GB"/>
              </w:rPr>
            </w:pPr>
            <w:r w:rsidRPr="001C2D28">
              <w:rPr>
                <w:rFonts w:asciiTheme="minorHAnsi" w:hAnsiTheme="minorHAnsi" w:cstheme="minorHAnsi"/>
                <w:b/>
                <w:bCs/>
                <w:sz w:val="20"/>
                <w:lang w:val="en-GB"/>
              </w:rPr>
              <w:t>Parameter</w:t>
            </w:r>
          </w:p>
        </w:tc>
        <w:tc>
          <w:tcPr>
            <w:tcW w:w="2393" w:type="dxa"/>
            <w:shd w:val="clear" w:color="auto" w:fill="auto"/>
            <w:vAlign w:val="center"/>
          </w:tcPr>
          <w:p w:rsidR="002B3B24" w:rsidRPr="001C2D28" w:rsidRDefault="00841E23">
            <w:pPr>
              <w:bidi w:val="0"/>
              <w:spacing w:after="0" w:line="240" w:lineRule="auto"/>
              <w:ind w:firstLine="0"/>
              <w:rPr>
                <w:rFonts w:asciiTheme="minorHAnsi" w:hAnsiTheme="minorHAnsi" w:cstheme="minorHAnsi"/>
                <w:b/>
                <w:bCs/>
                <w:lang w:val="en-GB"/>
              </w:rPr>
            </w:pPr>
            <w:r w:rsidRPr="001C2D28">
              <w:rPr>
                <w:rFonts w:asciiTheme="minorHAnsi" w:hAnsiTheme="minorHAnsi" w:cstheme="minorHAnsi"/>
                <w:b/>
                <w:bCs/>
                <w:sz w:val="20"/>
                <w:lang w:val="en-GB"/>
              </w:rPr>
              <w:t xml:space="preserve">Arid site </w:t>
            </w:r>
          </w:p>
          <w:p w:rsidR="002B3B24" w:rsidRPr="001C2D28" w:rsidRDefault="00841E23">
            <w:pPr>
              <w:bidi w:val="0"/>
              <w:spacing w:after="0" w:line="240" w:lineRule="auto"/>
              <w:ind w:firstLine="0"/>
              <w:rPr>
                <w:rFonts w:asciiTheme="minorHAnsi" w:eastAsiaTheme="majorEastAsia" w:hAnsiTheme="minorHAnsi" w:cstheme="minorHAnsi"/>
                <w:b/>
                <w:bCs/>
                <w:i/>
                <w:iCs/>
                <w:color w:val="4F81BD" w:themeColor="accent1"/>
                <w:lang w:val="en-GB"/>
              </w:rPr>
            </w:pPr>
            <w:r w:rsidRPr="001C2D28">
              <w:rPr>
                <w:rFonts w:asciiTheme="minorHAnsi" w:hAnsiTheme="minorHAnsi" w:cstheme="minorHAnsi"/>
                <w:b/>
                <w:bCs/>
                <w:sz w:val="20"/>
                <w:lang w:val="en-GB"/>
              </w:rPr>
              <w:t>(Sede-Boqer)</w:t>
            </w:r>
          </w:p>
        </w:tc>
        <w:tc>
          <w:tcPr>
            <w:tcW w:w="2827" w:type="dxa"/>
            <w:shd w:val="clear" w:color="auto" w:fill="auto"/>
            <w:vAlign w:val="center"/>
          </w:tcPr>
          <w:p w:rsidR="002B3B24" w:rsidRPr="001C2D28" w:rsidRDefault="00841E23">
            <w:pPr>
              <w:bidi w:val="0"/>
              <w:spacing w:after="0" w:line="240" w:lineRule="auto"/>
              <w:ind w:firstLine="0"/>
              <w:rPr>
                <w:rFonts w:asciiTheme="minorHAnsi" w:hAnsiTheme="minorHAnsi" w:cstheme="minorHAnsi"/>
                <w:b/>
                <w:bCs/>
                <w:lang w:val="en-GB"/>
              </w:rPr>
            </w:pPr>
            <w:r w:rsidRPr="001C2D28">
              <w:rPr>
                <w:rFonts w:asciiTheme="minorHAnsi" w:hAnsiTheme="minorHAnsi" w:cstheme="minorHAnsi"/>
                <w:b/>
                <w:bCs/>
                <w:sz w:val="20"/>
                <w:lang w:val="en-GB"/>
              </w:rPr>
              <w:t>Hyperarid site</w:t>
            </w:r>
          </w:p>
          <w:p w:rsidR="002B3B24" w:rsidRPr="001C2D28" w:rsidRDefault="00841E23">
            <w:pPr>
              <w:bidi w:val="0"/>
              <w:spacing w:afterAutospacing="1" w:line="240" w:lineRule="auto"/>
              <w:ind w:firstLine="0"/>
              <w:rPr>
                <w:rFonts w:asciiTheme="minorHAnsi" w:eastAsiaTheme="majorEastAsia" w:hAnsiTheme="minorHAnsi" w:cstheme="minorHAnsi"/>
                <w:b/>
                <w:bCs/>
                <w:i/>
                <w:iCs/>
                <w:color w:val="4F81BD" w:themeColor="accent1"/>
                <w:lang w:val="en-GB"/>
              </w:rPr>
            </w:pPr>
            <w:r w:rsidRPr="001C2D28">
              <w:rPr>
                <w:rFonts w:asciiTheme="minorHAnsi" w:hAnsiTheme="minorHAnsi" w:cstheme="minorHAnsi"/>
                <w:b/>
                <w:bCs/>
                <w:sz w:val="20"/>
                <w:lang w:val="en-GB"/>
              </w:rPr>
              <w:t>(Uvda Valley)</w:t>
            </w:r>
          </w:p>
        </w:tc>
        <w:tc>
          <w:tcPr>
            <w:tcW w:w="3366" w:type="dxa"/>
            <w:shd w:val="clear" w:color="auto" w:fill="auto"/>
            <w:vAlign w:val="center"/>
          </w:tcPr>
          <w:p w:rsidR="002B3B24" w:rsidRPr="001C2D28" w:rsidRDefault="00841E23">
            <w:pPr>
              <w:bidi w:val="0"/>
              <w:spacing w:after="0" w:line="240" w:lineRule="auto"/>
              <w:ind w:firstLine="0"/>
              <w:rPr>
                <w:rFonts w:asciiTheme="minorHAnsi" w:hAnsiTheme="minorHAnsi" w:cstheme="minorHAnsi"/>
                <w:b/>
                <w:bCs/>
                <w:lang w:val="en-GB"/>
              </w:rPr>
            </w:pPr>
            <w:r w:rsidRPr="001C2D28">
              <w:rPr>
                <w:rFonts w:asciiTheme="minorHAnsi" w:hAnsiTheme="minorHAnsi" w:cstheme="minorHAnsi"/>
                <w:b/>
                <w:bCs/>
                <w:sz w:val="20"/>
                <w:lang w:val="en-GB"/>
              </w:rPr>
              <w:t>Reference</w:t>
            </w:r>
          </w:p>
        </w:tc>
      </w:tr>
      <w:tr w:rsidR="002B3B24" w:rsidRPr="001C2D28" w:rsidTr="00CE37D6">
        <w:trPr>
          <w:trHeight w:val="20"/>
        </w:trPr>
        <w:tc>
          <w:tcPr>
            <w:tcW w:w="3718" w:type="dxa"/>
            <w:shd w:val="clear" w:color="auto" w:fill="auto"/>
            <w:vAlign w:val="center"/>
          </w:tcPr>
          <w:p w:rsidR="002B3B24" w:rsidRPr="001C2D28" w:rsidRDefault="00841E23">
            <w:pPr>
              <w:bidi w:val="0"/>
              <w:spacing w:after="0" w:line="240" w:lineRule="auto"/>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Elevation</w:t>
            </w:r>
            <w:r w:rsidRPr="001C2D28">
              <w:rPr>
                <w:rFonts w:asciiTheme="minorHAnsi" w:eastAsiaTheme="majorEastAsia" w:hAnsiTheme="minorHAnsi" w:cstheme="minorHAnsi"/>
                <w:i/>
                <w:iCs/>
                <w:color w:val="4F81BD" w:themeColor="accent1"/>
                <w:sz w:val="20"/>
                <w:lang w:val="en-GB"/>
              </w:rPr>
              <w:t xml:space="preserve"> </w:t>
            </w:r>
            <w:r w:rsidRPr="001C2D28">
              <w:rPr>
                <w:rFonts w:asciiTheme="minorHAnsi" w:hAnsiTheme="minorHAnsi" w:cstheme="minorHAnsi"/>
                <w:sz w:val="20"/>
                <w:lang w:val="en-GB"/>
              </w:rPr>
              <w:t>(m.a.s.l)</w:t>
            </w:r>
          </w:p>
        </w:tc>
        <w:tc>
          <w:tcPr>
            <w:tcW w:w="2393" w:type="dxa"/>
            <w:shd w:val="clear" w:color="auto" w:fill="auto"/>
            <w:vAlign w:val="center"/>
          </w:tcPr>
          <w:p w:rsidR="002B3B24" w:rsidRPr="001C2D28" w:rsidRDefault="00841E23">
            <w:pPr>
              <w:bidi w:val="0"/>
              <w:spacing w:after="0" w:line="240" w:lineRule="auto"/>
              <w:ind w:firstLine="0"/>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400-700</w:t>
            </w:r>
          </w:p>
        </w:tc>
        <w:tc>
          <w:tcPr>
            <w:tcW w:w="2827" w:type="dxa"/>
            <w:shd w:val="clear" w:color="auto" w:fill="auto"/>
            <w:vAlign w:val="center"/>
          </w:tcPr>
          <w:p w:rsidR="002B3B24" w:rsidRPr="001C2D28" w:rsidRDefault="00841E23">
            <w:pPr>
              <w:bidi w:val="0"/>
              <w:spacing w:after="0" w:line="240" w:lineRule="auto"/>
              <w:ind w:firstLine="0"/>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400-500</w:t>
            </w:r>
          </w:p>
        </w:tc>
        <w:tc>
          <w:tcPr>
            <w:tcW w:w="3366" w:type="dxa"/>
            <w:shd w:val="clear" w:color="auto" w:fill="auto"/>
            <w:vAlign w:val="center"/>
          </w:tcPr>
          <w:p w:rsidR="002B3B24" w:rsidRPr="001C2D28" w:rsidRDefault="002B3B24">
            <w:pPr>
              <w:bidi w:val="0"/>
              <w:spacing w:after="0" w:line="240" w:lineRule="auto"/>
              <w:ind w:firstLine="0"/>
              <w:rPr>
                <w:rFonts w:asciiTheme="minorHAnsi" w:hAnsiTheme="minorHAnsi" w:cstheme="minorHAnsi"/>
                <w:sz w:val="20"/>
                <w:lang w:val="en-GB"/>
              </w:rPr>
            </w:pPr>
          </w:p>
        </w:tc>
      </w:tr>
      <w:tr w:rsidR="002B3B24" w:rsidRPr="001C2D28" w:rsidTr="00CE37D6">
        <w:trPr>
          <w:trHeight w:val="20"/>
        </w:trPr>
        <w:tc>
          <w:tcPr>
            <w:tcW w:w="3718" w:type="dxa"/>
            <w:shd w:val="clear" w:color="auto" w:fill="auto"/>
            <w:vAlign w:val="center"/>
          </w:tcPr>
          <w:p w:rsidR="002B3B24" w:rsidRPr="001C2D28" w:rsidRDefault="00841E23">
            <w:pPr>
              <w:bidi w:val="0"/>
              <w:spacing w:after="0" w:line="240" w:lineRule="auto"/>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Annual rain precipitation</w:t>
            </w:r>
            <w:r w:rsidRPr="001C2D28">
              <w:rPr>
                <w:rFonts w:asciiTheme="minorHAnsi" w:eastAsiaTheme="majorEastAsia" w:hAnsiTheme="minorHAnsi" w:cstheme="minorHAnsi"/>
                <w:i/>
                <w:iCs/>
                <w:color w:val="4F81BD" w:themeColor="accent1"/>
                <w:sz w:val="20"/>
                <w:lang w:val="en-GB"/>
              </w:rPr>
              <w:t xml:space="preserve"> </w:t>
            </w:r>
            <w:r w:rsidRPr="001C2D28">
              <w:rPr>
                <w:rFonts w:asciiTheme="minorHAnsi" w:hAnsiTheme="minorHAnsi" w:cstheme="minorHAnsi"/>
                <w:sz w:val="20"/>
                <w:lang w:val="en-GB"/>
              </w:rPr>
              <w:t>(P; mm yr</w:t>
            </w:r>
            <w:r w:rsidRPr="001C2D28">
              <w:rPr>
                <w:rFonts w:asciiTheme="minorHAnsi" w:hAnsiTheme="minorHAnsi" w:cstheme="minorHAnsi"/>
                <w:sz w:val="20"/>
                <w:vertAlign w:val="superscript"/>
                <w:lang w:val="en-GB"/>
              </w:rPr>
              <w:t>-1</w:t>
            </w:r>
            <w:r w:rsidRPr="001C2D28">
              <w:rPr>
                <w:rFonts w:asciiTheme="minorHAnsi" w:hAnsiTheme="minorHAnsi" w:cstheme="minorHAnsi"/>
                <w:sz w:val="20"/>
                <w:lang w:val="en-GB"/>
              </w:rPr>
              <w:t>)</w:t>
            </w:r>
          </w:p>
        </w:tc>
        <w:tc>
          <w:tcPr>
            <w:tcW w:w="2393" w:type="dxa"/>
            <w:shd w:val="clear" w:color="auto" w:fill="auto"/>
            <w:vAlign w:val="center"/>
          </w:tcPr>
          <w:p w:rsidR="002B3B24" w:rsidRPr="001C2D28" w:rsidRDefault="00841E23">
            <w:pPr>
              <w:bidi w:val="0"/>
              <w:spacing w:after="0" w:line="240" w:lineRule="auto"/>
              <w:ind w:firstLine="0"/>
              <w:rPr>
                <w:rFonts w:asciiTheme="minorHAnsi" w:hAnsiTheme="minorHAnsi" w:cstheme="minorHAnsi"/>
                <w:lang w:val="en-GB"/>
              </w:rPr>
            </w:pPr>
            <w:r w:rsidRPr="001C2D28">
              <w:rPr>
                <w:rFonts w:asciiTheme="minorHAnsi" w:hAnsiTheme="minorHAnsi" w:cstheme="minorHAnsi"/>
                <w:sz w:val="20"/>
                <w:lang w:val="en-GB"/>
              </w:rPr>
              <w:t>80-120</w:t>
            </w:r>
          </w:p>
        </w:tc>
        <w:tc>
          <w:tcPr>
            <w:tcW w:w="2827" w:type="dxa"/>
            <w:shd w:val="clear" w:color="auto" w:fill="auto"/>
            <w:vAlign w:val="center"/>
          </w:tcPr>
          <w:p w:rsidR="002B3B24" w:rsidRPr="001C2D28" w:rsidRDefault="00841E23">
            <w:pPr>
              <w:bidi w:val="0"/>
              <w:spacing w:after="0" w:line="240" w:lineRule="auto"/>
              <w:ind w:firstLine="0"/>
              <w:rPr>
                <w:rFonts w:asciiTheme="minorHAnsi" w:hAnsiTheme="minorHAnsi" w:cstheme="minorHAnsi"/>
                <w:lang w:val="en-GB"/>
              </w:rPr>
            </w:pPr>
            <w:r w:rsidRPr="001C2D28">
              <w:rPr>
                <w:rFonts w:asciiTheme="minorHAnsi" w:hAnsiTheme="minorHAnsi" w:cstheme="minorHAnsi"/>
                <w:sz w:val="20"/>
                <w:lang w:val="en-GB"/>
              </w:rPr>
              <w:t>10-20</w:t>
            </w:r>
          </w:p>
        </w:tc>
        <w:tc>
          <w:tcPr>
            <w:tcW w:w="3366" w:type="dxa"/>
            <w:shd w:val="clear" w:color="auto" w:fill="auto"/>
            <w:vAlign w:val="center"/>
          </w:tcPr>
          <w:p w:rsidR="002B3B24" w:rsidRPr="001C2D28" w:rsidRDefault="00841E23">
            <w:pPr>
              <w:bidi w:val="0"/>
              <w:spacing w:after="0" w:line="240" w:lineRule="auto"/>
              <w:ind w:firstLine="0"/>
              <w:rPr>
                <w:rFonts w:asciiTheme="minorHAnsi" w:hAnsiTheme="minorHAnsi" w:cstheme="minorHAnsi"/>
                <w:sz w:val="20"/>
              </w:rPr>
            </w:pPr>
            <w:r w:rsidRPr="001C2D28">
              <w:rPr>
                <w:rFonts w:asciiTheme="minorHAnsi" w:hAnsiTheme="minorHAnsi" w:cstheme="minorHAnsi"/>
              </w:rPr>
              <w:fldChar w:fldCharType="begin"/>
            </w:r>
            <w:r w:rsidRPr="001C2D28">
              <w:rPr>
                <w:rFonts w:asciiTheme="minorHAnsi" w:hAnsiTheme="minorHAnsi" w:cstheme="minorHAnsi"/>
                <w:sz w:val="20"/>
              </w:rPr>
              <w:instrText>ADDIN ZOTERO_ITEM CSL_CITATION {"</w:instrText>
            </w:r>
            <w:r w:rsidRPr="001C2D28">
              <w:rPr>
                <w:rFonts w:asciiTheme="minorHAnsi" w:hAnsiTheme="minorHAnsi" w:cstheme="minorHAnsi"/>
                <w:sz w:val="20"/>
              </w:rPr>
              <w:instrText>citationID":"erbc9hqM","properties":{"formattedCitation":"(Goldreich, 2013)","plainCitation":"(Goldreich, 2013)","noteIndex":0},"citationItems":[{"id":6406,"uris":["http://zotero.org/groups/1547308/items/298KCZDY"],"uri":["http://zotero.org/groups/1547308/</w:instrText>
            </w:r>
            <w:r w:rsidRPr="001C2D28">
              <w:rPr>
                <w:rFonts w:asciiTheme="minorHAnsi" w:hAnsiTheme="minorHAnsi" w:cstheme="minorHAnsi"/>
                <w:sz w:val="20"/>
              </w:rPr>
              <w:instrText>items/298KCZDY"],"itemData":{"id":6406,"type":"book","title":"Climate of israel: observation, research and application.","publisher":"Springer","publisher-place":"Place of publication not identified","source":"Open WorldCat","event-place":"Place of publica</w:instrText>
            </w:r>
            <w:r w:rsidRPr="001C2D28">
              <w:rPr>
                <w:rFonts w:asciiTheme="minorHAnsi" w:hAnsiTheme="minorHAnsi" w:cstheme="minorHAnsi"/>
                <w:sz w:val="20"/>
              </w:rPr>
              <w:instrText>tion not identified","ISBN":"978-1-4615-0697-3","note":"OCLC: 968649277","shortTitle":"Climate of israel","language":"English","author":[{"family":"Goldreich","given":"Yair"}],"issued":{"date-parts":[["2013"]]}}}],"schema":"https://github.com/citation-styl</w:instrText>
            </w:r>
            <w:r w:rsidRPr="001C2D28">
              <w:rPr>
                <w:rFonts w:asciiTheme="minorHAnsi" w:hAnsiTheme="minorHAnsi" w:cstheme="minorHAnsi"/>
                <w:sz w:val="20"/>
              </w:rPr>
              <w:instrText>e-language/schema/raw/master/csl-citation.json"}</w:instrText>
            </w:r>
            <w:r w:rsidRPr="001C2D28">
              <w:rPr>
                <w:rFonts w:asciiTheme="minorHAnsi" w:hAnsiTheme="minorHAnsi" w:cstheme="minorHAnsi"/>
                <w:sz w:val="20"/>
              </w:rPr>
              <w:fldChar w:fldCharType="separate"/>
            </w:r>
            <w:bookmarkStart w:id="2" w:name="__Fieldmark__132_2563305251"/>
            <w:r w:rsidRPr="001C2D28">
              <w:rPr>
                <w:rFonts w:asciiTheme="minorHAnsi" w:hAnsiTheme="minorHAnsi" w:cstheme="minorHAnsi"/>
                <w:sz w:val="20"/>
                <w:lang w:val="en-GB"/>
              </w:rPr>
              <w:t>(Goldreich, 2013)</w:t>
            </w:r>
            <w:r w:rsidRPr="001C2D28">
              <w:rPr>
                <w:rFonts w:asciiTheme="minorHAnsi" w:hAnsiTheme="minorHAnsi" w:cstheme="minorHAnsi"/>
                <w:sz w:val="20"/>
              </w:rPr>
              <w:fldChar w:fldCharType="end"/>
            </w:r>
            <w:bookmarkEnd w:id="2"/>
          </w:p>
        </w:tc>
      </w:tr>
      <w:tr w:rsidR="002B3B24" w:rsidRPr="001C2D28" w:rsidTr="00CE37D6">
        <w:trPr>
          <w:trHeight w:val="20"/>
        </w:trPr>
        <w:tc>
          <w:tcPr>
            <w:tcW w:w="3718" w:type="dxa"/>
            <w:shd w:val="clear" w:color="auto" w:fill="auto"/>
            <w:vAlign w:val="center"/>
          </w:tcPr>
          <w:p w:rsidR="002B3B24" w:rsidRPr="001C2D28" w:rsidRDefault="00841E23">
            <w:pPr>
              <w:bidi w:val="0"/>
              <w:spacing w:after="0" w:line="240" w:lineRule="auto"/>
              <w:rPr>
                <w:rFonts w:asciiTheme="minorHAnsi" w:hAnsiTheme="minorHAnsi" w:cstheme="minorHAnsi"/>
                <w:lang w:val="en-GB"/>
              </w:rPr>
            </w:pPr>
            <w:r w:rsidRPr="001C2D28">
              <w:rPr>
                <w:rFonts w:asciiTheme="minorHAnsi" w:hAnsiTheme="minorHAnsi" w:cstheme="minorHAnsi"/>
                <w:sz w:val="20"/>
                <w:lang w:val="en-GB"/>
              </w:rPr>
              <w:t>Potential evaporation (PET; mm)</w:t>
            </w:r>
          </w:p>
        </w:tc>
        <w:tc>
          <w:tcPr>
            <w:tcW w:w="2393" w:type="dxa"/>
            <w:shd w:val="clear" w:color="auto" w:fill="auto"/>
            <w:vAlign w:val="center"/>
          </w:tcPr>
          <w:p w:rsidR="002B3B24" w:rsidRPr="001C2D28" w:rsidRDefault="00841E23">
            <w:pPr>
              <w:bidi w:val="0"/>
              <w:spacing w:after="0" w:line="240" w:lineRule="auto"/>
              <w:ind w:firstLine="0"/>
              <w:rPr>
                <w:rFonts w:asciiTheme="minorHAnsi" w:hAnsiTheme="minorHAnsi" w:cstheme="minorHAnsi"/>
                <w:lang w:val="en-GB"/>
              </w:rPr>
            </w:pPr>
            <w:r w:rsidRPr="001C2D28">
              <w:rPr>
                <w:rFonts w:asciiTheme="minorHAnsi" w:hAnsiTheme="minorHAnsi" w:cstheme="minorHAnsi"/>
                <w:sz w:val="20"/>
                <w:lang w:val="en-GB"/>
              </w:rPr>
              <w:t>2000</w:t>
            </w:r>
          </w:p>
        </w:tc>
        <w:tc>
          <w:tcPr>
            <w:tcW w:w="2827" w:type="dxa"/>
            <w:shd w:val="clear" w:color="auto" w:fill="auto"/>
            <w:vAlign w:val="center"/>
          </w:tcPr>
          <w:p w:rsidR="002B3B24" w:rsidRPr="001C2D28" w:rsidRDefault="00841E23">
            <w:pPr>
              <w:bidi w:val="0"/>
              <w:spacing w:after="0" w:line="240" w:lineRule="auto"/>
              <w:ind w:firstLine="0"/>
              <w:rPr>
                <w:rFonts w:asciiTheme="minorHAnsi" w:hAnsiTheme="minorHAnsi" w:cstheme="minorHAnsi"/>
                <w:lang w:val="en-GB"/>
              </w:rPr>
            </w:pPr>
            <w:r w:rsidRPr="001C2D28">
              <w:rPr>
                <w:rFonts w:asciiTheme="minorHAnsi" w:hAnsiTheme="minorHAnsi" w:cstheme="minorHAnsi"/>
                <w:sz w:val="20"/>
                <w:lang w:val="en-GB"/>
              </w:rPr>
              <w:t>4000</w:t>
            </w:r>
          </w:p>
        </w:tc>
        <w:tc>
          <w:tcPr>
            <w:tcW w:w="3366" w:type="dxa"/>
            <w:shd w:val="clear" w:color="auto" w:fill="auto"/>
            <w:vAlign w:val="center"/>
          </w:tcPr>
          <w:p w:rsidR="002B3B24" w:rsidRPr="001C2D28" w:rsidRDefault="00841E23">
            <w:pPr>
              <w:bidi w:val="0"/>
              <w:spacing w:after="0" w:line="240" w:lineRule="auto"/>
              <w:ind w:firstLine="0"/>
              <w:rPr>
                <w:rFonts w:asciiTheme="minorHAnsi" w:hAnsiTheme="minorHAnsi" w:cstheme="minorHAnsi"/>
                <w:sz w:val="20"/>
              </w:rPr>
            </w:pPr>
            <w:r w:rsidRPr="001C2D28">
              <w:rPr>
                <w:rFonts w:asciiTheme="minorHAnsi" w:hAnsiTheme="minorHAnsi" w:cstheme="minorHAnsi"/>
              </w:rPr>
              <w:fldChar w:fldCharType="begin"/>
            </w:r>
            <w:r w:rsidRPr="001C2D28">
              <w:rPr>
                <w:rFonts w:asciiTheme="minorHAnsi" w:hAnsiTheme="minorHAnsi" w:cstheme="minorHAnsi"/>
                <w:sz w:val="20"/>
              </w:rPr>
              <w:instrText>ADDIN ZOTERO_ITEM CSL_CITATION {"citationID":"tls6Xszl","properties":{"formattedCitation":"(Bruins, 2012b)","plainCitation":"(Bruins, 2012b)","</w:instrText>
            </w:r>
            <w:r w:rsidRPr="001C2D28">
              <w:rPr>
                <w:rFonts w:asciiTheme="minorHAnsi" w:hAnsiTheme="minorHAnsi" w:cstheme="minorHAnsi"/>
                <w:sz w:val="20"/>
              </w:rPr>
              <w:instrText>noteIndex":0},"citationItems":[{"id":6286,"uris":["http://zotero.org/groups/1547308/items/J9RU4JBA"],"uri":["http://zotero.org/groups/1547308/items/J9RU4JBA"],"itemData":{"id":6286,"type":"article-journal","title":"Ancient desert agriculture in the Negev a</w:instrText>
            </w:r>
            <w:r w:rsidRPr="001C2D28">
              <w:rPr>
                <w:rFonts w:asciiTheme="minorHAnsi" w:hAnsiTheme="minorHAnsi" w:cstheme="minorHAnsi"/>
                <w:sz w:val="20"/>
              </w:rPr>
              <w:instrText>nd climate-zone boundary changes during average, wet and drought years","container-title":"Journal of Arid Environments","collection-title":"Ancient Agriculture in the Middle East","page":"28-42","volume":"86","source":"ScienceDirect","abstract":"Thousands</w:instrText>
            </w:r>
            <w:r w:rsidRPr="001C2D28">
              <w:rPr>
                <w:rFonts w:asciiTheme="minorHAnsi" w:hAnsiTheme="minorHAnsi" w:cstheme="minorHAnsi"/>
                <w:sz w:val="20"/>
              </w:rPr>
              <w:instrText xml:space="preserve"> of ancient terraces in the valleys of the Negev desert show that agriculture was conducted here in the past, based on the utilization of runoff and floodwater from local rainfall. A comprehensive collation and mapping is presented of the geographic distri</w:instrText>
            </w:r>
            <w:r w:rsidRPr="001C2D28">
              <w:rPr>
                <w:rFonts w:asciiTheme="minorHAnsi" w:hAnsiTheme="minorHAnsi" w:cstheme="minorHAnsi"/>
                <w:sz w:val="20"/>
              </w:rPr>
              <w:instrText>bution of such farming remains in the northern, central and southern Negev. The time range of these remains is also evaluated in detail with the inclusion of new data from the Neolithic to the present. Farming was and is conducted on a seasonal or annual t</w:instrText>
            </w:r>
            <w:r w:rsidRPr="001C2D28">
              <w:rPr>
                <w:rFonts w:asciiTheme="minorHAnsi" w:hAnsiTheme="minorHAnsi" w:cstheme="minorHAnsi"/>
                <w:sz w:val="20"/>
              </w:rPr>
              <w:instrText>imescale. However, proxy palaeoclimatic indicators in the southern Levant do not have such resolution. How do the ancient agricultural remains relate to climate? How do we define climate in order to make comparisons through time? How dry is dry? The conven</w:instrText>
            </w:r>
            <w:r w:rsidRPr="001C2D28">
              <w:rPr>
                <w:rFonts w:asciiTheme="minorHAnsi" w:hAnsiTheme="minorHAnsi" w:cstheme="minorHAnsi"/>
                <w:sz w:val="20"/>
              </w:rPr>
              <w:instrText>tional Köppen and Thornthwaite climatic classifications are cumbersome in both spatial and time-series analysis. This article presents for the first time the spatial positions of the climate zones in southern Israel based on the innovative P/PET climatic c</w:instrText>
            </w:r>
            <w:r w:rsidRPr="001C2D28">
              <w:rPr>
                <w:rFonts w:asciiTheme="minorHAnsi" w:hAnsiTheme="minorHAnsi" w:cstheme="minorHAnsi"/>
                <w:sz w:val="20"/>
              </w:rPr>
              <w:instrText>lassification approach (P = annual precipitation; PET = annual potential evapotranspiration). Instrumental data from 13 meteorological stations were used for the required calculations and mapping. The decade 1990–2000 was selected, because of extreme clima</w:instrText>
            </w:r>
            <w:r w:rsidRPr="001C2D28">
              <w:rPr>
                <w:rFonts w:asciiTheme="minorHAnsi" w:hAnsiTheme="minorHAnsi" w:cstheme="minorHAnsi"/>
                <w:sz w:val="20"/>
              </w:rPr>
              <w:instrText>tic variations in this period, including the cold and wettest year ever recorded, 1991–92, as well as the warm and severe drought year 1998–99. Main conclusions are as follows: 1. The majority of remains of ancient runoff/floodwater farming are located sou</w:instrText>
            </w:r>
            <w:r w:rsidRPr="001C2D28">
              <w:rPr>
                <w:rFonts w:asciiTheme="minorHAnsi" w:hAnsiTheme="minorHAnsi" w:cstheme="minorHAnsi"/>
                <w:sz w:val="20"/>
              </w:rPr>
              <w:instrText>th of Beer Sheva in the arid zone. 2. Only a few sites are situated in the hyper-arid zone in the southern Negev. 3. The southern and eastern borders of the ancient agricultural region in the central Negev coincide with the average decadal climatic boundar</w:instrText>
            </w:r>
            <w:r w:rsidRPr="001C2D28">
              <w:rPr>
                <w:rFonts w:asciiTheme="minorHAnsi" w:hAnsiTheme="minorHAnsi" w:cstheme="minorHAnsi"/>
                <w:sz w:val="20"/>
              </w:rPr>
              <w:instrText xml:space="preserve">y between the arid and hyper-arid zone (P/PET = 0.05). 4. The extremely wet year 1991–92 did not cause a significant displacement southward in the position of the arid and hyper-arid zones. Most runoff-farming areas remained within the arid zone. However, </w:instrText>
            </w:r>
            <w:r w:rsidRPr="001C2D28">
              <w:rPr>
                <w:rFonts w:asciiTheme="minorHAnsi" w:hAnsiTheme="minorHAnsi" w:cstheme="minorHAnsi"/>
                <w:sz w:val="20"/>
              </w:rPr>
              <w:instrText>north of Beer Sheva the climatic zones shifted dramatically, as the humid zone, usually not extant in the southern Levant, and the sub-humid zone, moved into southern Israel. 5. The severe drought year 1998–99, on the other hand, caused a dramatic displace</w:instrText>
            </w:r>
            <w:r w:rsidRPr="001C2D28">
              <w:rPr>
                <w:rFonts w:asciiTheme="minorHAnsi" w:hAnsiTheme="minorHAnsi" w:cstheme="minorHAnsi"/>
                <w:sz w:val="20"/>
              </w:rPr>
              <w:instrText>ment northward of all climate zones. The boundary between the arid zone and hyper-arid zone (P/PET = 0.05) moved north of Beer Sheva and west of Arad. Most runoff/floodwater farming areas were situated in the hyper-arid zone. 6. An area with terraced valle</w:instrText>
            </w:r>
            <w:r w:rsidRPr="001C2D28">
              <w:rPr>
                <w:rFonts w:asciiTheme="minorHAnsi" w:hAnsiTheme="minorHAnsi" w:cstheme="minorHAnsi"/>
                <w:sz w:val="20"/>
              </w:rPr>
              <w:instrText>ys beyond the Negev in the southern foothills near Hebron experienced an arid climate in 1998/99, instead of average semi-arid conditions. This underlines the rational of runoff capture for drought mitigation in the semi-arid zone. 7. The investigation set</w:instrText>
            </w:r>
            <w:r w:rsidRPr="001C2D28">
              <w:rPr>
                <w:rFonts w:asciiTheme="minorHAnsi" w:hAnsiTheme="minorHAnsi" w:cstheme="minorHAnsi"/>
                <w:sz w:val="20"/>
              </w:rPr>
              <w:instrText>s a modern standard of defined climate zones in the Negev and their shifts in wet and drought years as a basis for comparison with past climatic changes in relation to ancient agricultural remains.","DOI":"10.1016/j.jaridenv.2012.01.015","ISSN":"0140-1963"</w:instrText>
            </w:r>
            <w:r w:rsidRPr="001C2D28">
              <w:rPr>
                <w:rFonts w:asciiTheme="minorHAnsi" w:hAnsiTheme="minorHAnsi" w:cstheme="minorHAnsi"/>
                <w:sz w:val="20"/>
              </w:rPr>
              <w:instrText>,"journalAbbreviation":"Journal of Arid Environments","author":[{"family":"Bruins","given":"H. J."}],"issued":{"date-parts":[["2012",11,1]]}}}],"schema":"https://github.com/citation-style-language/schema/raw/master/csl-citation.json"}</w:instrText>
            </w:r>
            <w:r w:rsidRPr="001C2D28">
              <w:rPr>
                <w:rFonts w:asciiTheme="minorHAnsi" w:hAnsiTheme="minorHAnsi" w:cstheme="minorHAnsi"/>
                <w:sz w:val="20"/>
              </w:rPr>
              <w:fldChar w:fldCharType="separate"/>
            </w:r>
            <w:bookmarkStart w:id="3" w:name="__Fieldmark__140_2563305251"/>
            <w:r w:rsidRPr="001C2D28">
              <w:rPr>
                <w:rFonts w:asciiTheme="minorHAnsi" w:hAnsiTheme="minorHAnsi" w:cstheme="minorHAnsi"/>
                <w:sz w:val="20"/>
                <w:lang w:val="en-GB"/>
              </w:rPr>
              <w:t>(Bruins, 2012)</w:t>
            </w:r>
            <w:r w:rsidRPr="001C2D28">
              <w:rPr>
                <w:rFonts w:asciiTheme="minorHAnsi" w:hAnsiTheme="minorHAnsi" w:cstheme="minorHAnsi"/>
                <w:sz w:val="20"/>
              </w:rPr>
              <w:fldChar w:fldCharType="end"/>
            </w:r>
            <w:bookmarkEnd w:id="3"/>
          </w:p>
        </w:tc>
      </w:tr>
      <w:tr w:rsidR="002B3B24" w:rsidRPr="001C2D28" w:rsidTr="00CE37D6">
        <w:trPr>
          <w:trHeight w:val="20"/>
        </w:trPr>
        <w:tc>
          <w:tcPr>
            <w:tcW w:w="3718" w:type="dxa"/>
            <w:shd w:val="clear" w:color="auto" w:fill="auto"/>
            <w:vAlign w:val="center"/>
          </w:tcPr>
          <w:p w:rsidR="002B3B24" w:rsidRPr="001C2D28" w:rsidRDefault="00841E23">
            <w:pPr>
              <w:bidi w:val="0"/>
              <w:spacing w:after="0" w:line="240" w:lineRule="auto"/>
              <w:rPr>
                <w:rFonts w:asciiTheme="minorHAnsi" w:eastAsiaTheme="majorEastAsia" w:hAnsiTheme="minorHAnsi" w:cstheme="minorHAnsi"/>
                <w:i/>
                <w:iCs/>
                <w:color w:val="4F81BD" w:themeColor="accent1"/>
                <w:lang w:val="en-GB"/>
              </w:rPr>
            </w:pPr>
            <w:r w:rsidRPr="001C2D28">
              <w:rPr>
                <w:rFonts w:asciiTheme="minorHAnsi" w:hAnsiTheme="minorHAnsi" w:cstheme="minorHAnsi"/>
                <w:lang w:val="en-GB"/>
              </w:rPr>
              <w:t>Aridity Index (P/PET)</w:t>
            </w:r>
            <w:r w:rsidRPr="001C2D28">
              <w:rPr>
                <w:rFonts w:asciiTheme="minorHAnsi" w:eastAsia="Calibri" w:hAnsiTheme="minorHAnsi" w:cstheme="minorHAnsi"/>
                <w:sz w:val="24"/>
                <w:lang w:val="en-GB" w:eastAsia="zh-CN"/>
              </w:rPr>
              <w:t xml:space="preserve"> </w:t>
            </w:r>
          </w:p>
        </w:tc>
        <w:tc>
          <w:tcPr>
            <w:tcW w:w="2393" w:type="dxa"/>
            <w:shd w:val="clear" w:color="auto" w:fill="auto"/>
            <w:vAlign w:val="center"/>
          </w:tcPr>
          <w:p w:rsidR="002B3B24" w:rsidRPr="001C2D28" w:rsidRDefault="00841E23">
            <w:pPr>
              <w:bidi w:val="0"/>
              <w:spacing w:after="0" w:line="240" w:lineRule="auto"/>
              <w:ind w:firstLine="0"/>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Arid (0.05)</w:t>
            </w:r>
          </w:p>
        </w:tc>
        <w:tc>
          <w:tcPr>
            <w:tcW w:w="2827" w:type="dxa"/>
            <w:shd w:val="clear" w:color="auto" w:fill="auto"/>
            <w:vAlign w:val="center"/>
          </w:tcPr>
          <w:p w:rsidR="002B3B24" w:rsidRPr="001C2D28" w:rsidRDefault="00841E23">
            <w:pPr>
              <w:bidi w:val="0"/>
              <w:spacing w:after="0" w:line="240" w:lineRule="auto"/>
              <w:ind w:firstLine="0"/>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Hyperarid (0.005)</w:t>
            </w:r>
          </w:p>
        </w:tc>
        <w:tc>
          <w:tcPr>
            <w:tcW w:w="3366" w:type="dxa"/>
            <w:shd w:val="clear" w:color="auto" w:fill="auto"/>
            <w:vAlign w:val="center"/>
          </w:tcPr>
          <w:p w:rsidR="002B3B24" w:rsidRPr="001C2D28" w:rsidRDefault="002B3B24">
            <w:pPr>
              <w:bidi w:val="0"/>
              <w:spacing w:after="0" w:line="240" w:lineRule="auto"/>
              <w:ind w:firstLine="0"/>
              <w:rPr>
                <w:rFonts w:asciiTheme="minorHAnsi" w:hAnsiTheme="minorHAnsi" w:cstheme="minorHAnsi"/>
                <w:sz w:val="20"/>
                <w:lang w:val="en-GB"/>
              </w:rPr>
            </w:pPr>
          </w:p>
        </w:tc>
      </w:tr>
      <w:tr w:rsidR="002B3B24" w:rsidRPr="001C2D28" w:rsidTr="00CE37D6">
        <w:trPr>
          <w:trHeight w:val="20"/>
        </w:trPr>
        <w:tc>
          <w:tcPr>
            <w:tcW w:w="3718" w:type="dxa"/>
            <w:shd w:val="clear" w:color="auto" w:fill="auto"/>
            <w:vAlign w:val="center"/>
          </w:tcPr>
          <w:p w:rsidR="002B3B24" w:rsidRPr="001C2D28" w:rsidRDefault="00841E23">
            <w:pPr>
              <w:bidi w:val="0"/>
              <w:spacing w:after="0" w:line="240" w:lineRule="auto"/>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Bedrock units</w:t>
            </w:r>
          </w:p>
        </w:tc>
        <w:tc>
          <w:tcPr>
            <w:tcW w:w="5220" w:type="dxa"/>
            <w:gridSpan w:val="2"/>
            <w:shd w:val="clear" w:color="auto" w:fill="auto"/>
            <w:vAlign w:val="center"/>
          </w:tcPr>
          <w:p w:rsidR="002B3B24" w:rsidRPr="001C2D28" w:rsidRDefault="00841E23">
            <w:pPr>
              <w:bidi w:val="0"/>
              <w:spacing w:after="0" w:line="240" w:lineRule="auto"/>
              <w:ind w:firstLine="0"/>
              <w:rPr>
                <w:rFonts w:asciiTheme="minorHAnsi" w:hAnsiTheme="minorHAnsi" w:cstheme="minorHAnsi"/>
                <w:lang w:val="en-GB"/>
              </w:rPr>
            </w:pPr>
            <w:r w:rsidRPr="001C2D28">
              <w:rPr>
                <w:rFonts w:asciiTheme="minorHAnsi" w:hAnsiTheme="minorHAnsi" w:cstheme="minorHAnsi"/>
                <w:sz w:val="20"/>
                <w:lang w:val="en-GB"/>
              </w:rPr>
              <w:t>Late Cretaceous to Tertiary age; composed of marine sediments, mainly limestone, dolomite, chalk, marl and chert</w:t>
            </w:r>
          </w:p>
        </w:tc>
        <w:tc>
          <w:tcPr>
            <w:tcW w:w="3366" w:type="dxa"/>
            <w:shd w:val="clear" w:color="auto" w:fill="auto"/>
            <w:vAlign w:val="center"/>
          </w:tcPr>
          <w:p w:rsidR="002B3B24" w:rsidRPr="001C2D28" w:rsidRDefault="00841E23">
            <w:pPr>
              <w:bidi w:val="0"/>
              <w:spacing w:after="0" w:line="240" w:lineRule="auto"/>
              <w:ind w:firstLine="0"/>
              <w:rPr>
                <w:rFonts w:asciiTheme="minorHAnsi" w:hAnsiTheme="minorHAnsi" w:cstheme="minorHAnsi"/>
                <w:sz w:val="20"/>
              </w:rPr>
            </w:pPr>
            <w:r w:rsidRPr="001C2D28">
              <w:rPr>
                <w:rFonts w:asciiTheme="minorHAnsi" w:hAnsiTheme="minorHAnsi" w:cstheme="minorHAnsi"/>
              </w:rPr>
              <w:fldChar w:fldCharType="begin"/>
            </w:r>
            <w:r w:rsidRPr="001C2D28">
              <w:rPr>
                <w:rFonts w:asciiTheme="minorHAnsi" w:hAnsiTheme="minorHAnsi" w:cstheme="minorHAnsi"/>
                <w:sz w:val="20"/>
              </w:rPr>
              <w:instrText>ADDIN ZOTERO_ITEM CSL_CITATION {"citationID":"lT32p6gR","properties":{"for</w:instrText>
            </w:r>
            <w:r w:rsidRPr="001C2D28">
              <w:rPr>
                <w:rFonts w:asciiTheme="minorHAnsi" w:hAnsiTheme="minorHAnsi" w:cstheme="minorHAnsi"/>
                <w:sz w:val="20"/>
              </w:rPr>
              <w:instrText>mattedCitation":"\\uldash{(Wieler, Avni, &amp; Rosensaft, 2016)}","plainCitation":"(Wieler, Avni, &amp; Rosensaft, 2016)","dontUpdate":true,"noteIndex":0},"citationItems":[{"id":4436,"uris":["http://zotero.org/groups/1547308/items/9D99RZ2C"],"uri":["http://zotero.</w:instrText>
            </w:r>
            <w:r w:rsidRPr="001C2D28">
              <w:rPr>
                <w:rFonts w:asciiTheme="minorHAnsi" w:hAnsiTheme="minorHAnsi" w:cstheme="minorHAnsi"/>
                <w:sz w:val="20"/>
              </w:rPr>
              <w:instrText>org/groups/1547308/items/9D99RZ2C"],"itemData":{"id":4436,"type":"article-journal","title":"The significance of the geological strata on desert runoff agriculture: Indications for stable desert environment over the last 1600 years in southern Israel","cont</w:instrText>
            </w:r>
            <w:r w:rsidRPr="001C2D28">
              <w:rPr>
                <w:rFonts w:asciiTheme="minorHAnsi" w:hAnsiTheme="minorHAnsi" w:cstheme="minorHAnsi"/>
                <w:sz w:val="20"/>
              </w:rPr>
              <w:instrText>ainer-title":"Journal of Arid Environments","page":"147-163","volume":"135","source":"CrossRef","DOI":"10.1016/j.jaridenv.2016.08.010","ISSN":"01401963","shortTitle":"The significance of the geological strata on desert runoff agriculture","language":"en","</w:instrText>
            </w:r>
            <w:r w:rsidRPr="001C2D28">
              <w:rPr>
                <w:rFonts w:asciiTheme="minorHAnsi" w:hAnsiTheme="minorHAnsi" w:cstheme="minorHAnsi"/>
                <w:sz w:val="20"/>
              </w:rPr>
              <w:instrText>author":[{"family":"Wieler","given":"Nimrod"},{"family":"Avni","given":"Yoav"},{"family":"Rosensaft","given":"Marcelo"}],"issued":{"date-parts":[["2016",12]]}}}],"schema":"https://github.com/citation-style-language/schema/raw/master/csl-citation.json"}</w:instrText>
            </w:r>
            <w:r w:rsidRPr="001C2D28">
              <w:rPr>
                <w:rFonts w:asciiTheme="minorHAnsi" w:hAnsiTheme="minorHAnsi" w:cstheme="minorHAnsi"/>
                <w:sz w:val="20"/>
              </w:rPr>
              <w:fldChar w:fldCharType="separate"/>
            </w:r>
            <w:bookmarkStart w:id="4" w:name="__Fieldmark__151_2563305251"/>
            <w:r w:rsidRPr="001C2D28">
              <w:rPr>
                <w:rFonts w:asciiTheme="minorHAnsi" w:hAnsiTheme="minorHAnsi" w:cstheme="minorHAnsi"/>
                <w:sz w:val="20"/>
                <w:lang w:val="en-GB"/>
              </w:rPr>
              <w:t>(Wie</w:t>
            </w:r>
            <w:r w:rsidRPr="001C2D28">
              <w:rPr>
                <w:rFonts w:asciiTheme="minorHAnsi" w:hAnsiTheme="minorHAnsi" w:cstheme="minorHAnsi"/>
                <w:sz w:val="20"/>
                <w:lang w:val="en-GB"/>
              </w:rPr>
              <w:t>ler et al., 2016)</w:t>
            </w:r>
            <w:r w:rsidRPr="001C2D28">
              <w:rPr>
                <w:rFonts w:asciiTheme="minorHAnsi" w:hAnsiTheme="minorHAnsi" w:cstheme="minorHAnsi"/>
                <w:sz w:val="20"/>
              </w:rPr>
              <w:fldChar w:fldCharType="end"/>
            </w:r>
            <w:bookmarkEnd w:id="4"/>
          </w:p>
        </w:tc>
      </w:tr>
      <w:tr w:rsidR="002B3B24" w:rsidRPr="001C2D28" w:rsidTr="00CE37D6">
        <w:trPr>
          <w:trHeight w:val="20"/>
        </w:trPr>
        <w:tc>
          <w:tcPr>
            <w:tcW w:w="3718" w:type="dxa"/>
            <w:shd w:val="clear" w:color="auto" w:fill="auto"/>
            <w:vAlign w:val="center"/>
          </w:tcPr>
          <w:p w:rsidR="002B3B24" w:rsidRPr="001C2D28" w:rsidRDefault="00841E23">
            <w:pPr>
              <w:bidi w:val="0"/>
              <w:spacing w:after="0" w:line="240" w:lineRule="auto"/>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Distance to nearest sea</w:t>
            </w:r>
          </w:p>
        </w:tc>
        <w:tc>
          <w:tcPr>
            <w:tcW w:w="2393" w:type="dxa"/>
            <w:shd w:val="clear" w:color="auto" w:fill="auto"/>
            <w:vAlign w:val="center"/>
          </w:tcPr>
          <w:p w:rsidR="002B3B24" w:rsidRPr="001C2D28" w:rsidRDefault="00841E23">
            <w:pPr>
              <w:bidi w:val="0"/>
              <w:spacing w:after="0" w:line="240" w:lineRule="auto"/>
              <w:ind w:firstLine="0"/>
              <w:rPr>
                <w:rFonts w:asciiTheme="minorHAnsi" w:hAnsiTheme="minorHAnsi" w:cstheme="minorHAnsi"/>
                <w:lang w:val="en-GB"/>
              </w:rPr>
            </w:pPr>
            <w:r w:rsidRPr="001C2D28">
              <w:rPr>
                <w:rFonts w:asciiTheme="minorHAnsi" w:hAnsiTheme="minorHAnsi" w:cstheme="minorHAnsi"/>
                <w:sz w:val="20"/>
                <w:lang w:val="en-GB"/>
              </w:rPr>
              <w:t>Mediterranean Sea – 80 km; Red Sea – 140 km</w:t>
            </w:r>
          </w:p>
        </w:tc>
        <w:tc>
          <w:tcPr>
            <w:tcW w:w="2827" w:type="dxa"/>
            <w:shd w:val="clear" w:color="auto" w:fill="auto"/>
            <w:vAlign w:val="center"/>
          </w:tcPr>
          <w:p w:rsidR="002B3B24" w:rsidRPr="001C2D28" w:rsidRDefault="00841E23">
            <w:pPr>
              <w:bidi w:val="0"/>
              <w:spacing w:after="0" w:line="240" w:lineRule="auto"/>
              <w:ind w:firstLine="0"/>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Mediterranean Sea –160 km; Red Sea – 40</w:t>
            </w:r>
          </w:p>
        </w:tc>
        <w:tc>
          <w:tcPr>
            <w:tcW w:w="3366" w:type="dxa"/>
            <w:shd w:val="clear" w:color="auto" w:fill="auto"/>
            <w:vAlign w:val="center"/>
          </w:tcPr>
          <w:p w:rsidR="002B3B24" w:rsidRPr="001C2D28" w:rsidRDefault="002B3B24">
            <w:pPr>
              <w:bidi w:val="0"/>
              <w:spacing w:after="0" w:line="240" w:lineRule="auto"/>
              <w:ind w:firstLine="0"/>
              <w:rPr>
                <w:rFonts w:asciiTheme="minorHAnsi" w:hAnsiTheme="minorHAnsi" w:cstheme="minorHAnsi"/>
                <w:sz w:val="20"/>
                <w:lang w:val="en-GB"/>
              </w:rPr>
            </w:pPr>
          </w:p>
        </w:tc>
      </w:tr>
      <w:tr w:rsidR="002B3B24" w:rsidRPr="001C2D28" w:rsidTr="00CE37D6">
        <w:trPr>
          <w:trHeight w:val="20"/>
        </w:trPr>
        <w:tc>
          <w:tcPr>
            <w:tcW w:w="3718" w:type="dxa"/>
            <w:shd w:val="clear" w:color="auto" w:fill="auto"/>
            <w:vAlign w:val="center"/>
          </w:tcPr>
          <w:p w:rsidR="002B3B24" w:rsidRPr="001C2D28" w:rsidRDefault="00841E23">
            <w:pPr>
              <w:bidi w:val="0"/>
              <w:spacing w:after="0" w:line="240" w:lineRule="auto"/>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Rain source</w:t>
            </w:r>
          </w:p>
        </w:tc>
        <w:tc>
          <w:tcPr>
            <w:tcW w:w="5220" w:type="dxa"/>
            <w:gridSpan w:val="2"/>
            <w:shd w:val="clear" w:color="auto" w:fill="auto"/>
            <w:vAlign w:val="center"/>
          </w:tcPr>
          <w:p w:rsidR="002B3B24" w:rsidRPr="001C2D28" w:rsidRDefault="00841E23">
            <w:pPr>
              <w:bidi w:val="0"/>
              <w:spacing w:after="0" w:line="240" w:lineRule="auto"/>
              <w:ind w:firstLine="0"/>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Mediterranean Sea and Red Sea Trough</w:t>
            </w:r>
          </w:p>
        </w:tc>
        <w:tc>
          <w:tcPr>
            <w:tcW w:w="3366" w:type="dxa"/>
            <w:vMerge w:val="restart"/>
            <w:shd w:val="clear" w:color="auto" w:fill="auto"/>
            <w:vAlign w:val="center"/>
          </w:tcPr>
          <w:p w:rsidR="002B3B24" w:rsidRPr="001C2D28" w:rsidRDefault="00841E23">
            <w:pPr>
              <w:bidi w:val="0"/>
              <w:spacing w:after="0" w:line="240" w:lineRule="auto"/>
              <w:ind w:firstLine="0"/>
              <w:rPr>
                <w:rFonts w:asciiTheme="minorHAnsi" w:hAnsiTheme="minorHAnsi" w:cstheme="minorHAnsi"/>
                <w:sz w:val="20"/>
              </w:rPr>
            </w:pPr>
            <w:r w:rsidRPr="001C2D28">
              <w:rPr>
                <w:rFonts w:asciiTheme="minorHAnsi" w:hAnsiTheme="minorHAnsi" w:cstheme="minorHAnsi"/>
              </w:rPr>
              <w:fldChar w:fldCharType="begin"/>
            </w:r>
            <w:r w:rsidRPr="001C2D28">
              <w:rPr>
                <w:rFonts w:asciiTheme="minorHAnsi" w:hAnsiTheme="minorHAnsi" w:cstheme="minorHAnsi"/>
                <w:sz w:val="20"/>
              </w:rPr>
              <w:instrText>ADDIN ZOTERO_ITEM CSL_CITATION {"citationID":"K2YualAl","properties":{"</w:instrText>
            </w:r>
            <w:r w:rsidRPr="001C2D28">
              <w:rPr>
                <w:rFonts w:asciiTheme="minorHAnsi" w:hAnsiTheme="minorHAnsi" w:cstheme="minorHAnsi"/>
                <w:sz w:val="20"/>
              </w:rPr>
              <w:instrText>formattedCitation":"(Goldreich, 2013)","plainCitation":"(Goldreich, 2013)","noteIndex":0},"citationItems":[{"id":6406,"uris":["http://zotero.org/groups/1547308/items/298KCZDY"],"uri":["http://zotero.org/groups/1547308/items/298KCZDY"],"itemData":{"id":6406</w:instrText>
            </w:r>
            <w:r w:rsidRPr="001C2D28">
              <w:rPr>
                <w:rFonts w:asciiTheme="minorHAnsi" w:hAnsiTheme="minorHAnsi" w:cstheme="minorHAnsi"/>
                <w:sz w:val="20"/>
              </w:rPr>
              <w:instrText>,"type":"book","title":"Climate of israel: observation, research and application.","publisher":"Springer","publisher-place":"Place of publication not identified","source":"Open WorldCat","event-place":"Place of publication not identified","ISBN":"978-1-461</w:instrText>
            </w:r>
            <w:r w:rsidRPr="001C2D28">
              <w:rPr>
                <w:rFonts w:asciiTheme="minorHAnsi" w:hAnsiTheme="minorHAnsi" w:cstheme="minorHAnsi"/>
                <w:sz w:val="20"/>
              </w:rPr>
              <w:instrText>5-0697-3","note":"OCLC: 968649277","shortTitle":"Climate of israel","language":"English","author":[{"family":"Goldreich","given":"Yair"}],"issued":{"date-parts":[["2013"]]}}}],"schema":"https://github.com/citation-style-language/schema/raw/master/csl-citat</w:instrText>
            </w:r>
            <w:r w:rsidRPr="001C2D28">
              <w:rPr>
                <w:rFonts w:asciiTheme="minorHAnsi" w:hAnsiTheme="minorHAnsi" w:cstheme="minorHAnsi"/>
                <w:sz w:val="20"/>
              </w:rPr>
              <w:instrText>ion.json"}</w:instrText>
            </w:r>
            <w:r w:rsidRPr="001C2D28">
              <w:rPr>
                <w:rFonts w:asciiTheme="minorHAnsi" w:hAnsiTheme="minorHAnsi" w:cstheme="minorHAnsi"/>
                <w:sz w:val="20"/>
              </w:rPr>
              <w:fldChar w:fldCharType="separate"/>
            </w:r>
            <w:bookmarkStart w:id="5" w:name="__Fieldmark__165_2563305251"/>
            <w:r w:rsidRPr="001C2D28">
              <w:rPr>
                <w:rFonts w:asciiTheme="minorHAnsi" w:hAnsiTheme="minorHAnsi" w:cstheme="minorHAnsi"/>
                <w:sz w:val="20"/>
                <w:lang w:val="en-GB"/>
              </w:rPr>
              <w:t>(Goldreich, 2013)</w:t>
            </w:r>
            <w:r w:rsidRPr="001C2D28">
              <w:rPr>
                <w:rFonts w:asciiTheme="minorHAnsi" w:hAnsiTheme="minorHAnsi" w:cstheme="minorHAnsi"/>
                <w:sz w:val="20"/>
              </w:rPr>
              <w:fldChar w:fldCharType="end"/>
            </w:r>
            <w:bookmarkEnd w:id="5"/>
          </w:p>
          <w:p w:rsidR="002B3B24" w:rsidRPr="001C2D28" w:rsidRDefault="00841E23">
            <w:pPr>
              <w:bidi w:val="0"/>
              <w:spacing w:after="0" w:line="240" w:lineRule="auto"/>
              <w:rPr>
                <w:rFonts w:asciiTheme="minorHAnsi" w:hAnsiTheme="minorHAnsi" w:cstheme="minorHAnsi"/>
                <w:sz w:val="20"/>
              </w:rPr>
            </w:pPr>
            <w:r w:rsidRPr="001C2D28">
              <w:rPr>
                <w:rFonts w:asciiTheme="minorHAnsi" w:hAnsiTheme="minorHAnsi" w:cstheme="minorHAnsi"/>
              </w:rPr>
              <w:fldChar w:fldCharType="begin"/>
            </w:r>
            <w:r w:rsidRPr="001C2D28">
              <w:rPr>
                <w:rFonts w:asciiTheme="minorHAnsi" w:hAnsiTheme="minorHAnsi" w:cstheme="minorHAnsi"/>
                <w:sz w:val="20"/>
              </w:rPr>
              <w:instrText>ADDIN ZOTERO_ITEM CSL_CITATION {"citationID":"8av7vWx9","properties":{"formattedCitation":"\\uldash{(Goldreich, 2013)}","plainCitation":"(Goldreich, 2013)","dontUpdate":true,"noteIndex":0},"citationItems":[{"id":6406,"uris":[</w:instrText>
            </w:r>
            <w:r w:rsidRPr="001C2D28">
              <w:rPr>
                <w:rFonts w:asciiTheme="minorHAnsi" w:hAnsiTheme="minorHAnsi" w:cstheme="minorHAnsi"/>
                <w:sz w:val="20"/>
              </w:rPr>
              <w:instrText>"http://zotero.org/groups/1547308/items/298KCZDY"],"uri":["http://zotero.org/groups/1547308/items/298KCZDY"],"itemData":{"id":6406,"type":"book","title":"Climate of israel: observation, research and application.","publisher":"Springer","publisher-place":"P</w:instrText>
            </w:r>
            <w:r w:rsidRPr="001C2D28">
              <w:rPr>
                <w:rFonts w:asciiTheme="minorHAnsi" w:hAnsiTheme="minorHAnsi" w:cstheme="minorHAnsi"/>
                <w:sz w:val="20"/>
              </w:rPr>
              <w:instrText>lace of publication not identified","source":"Open WorldCat","event-place":"Place of publication not identified","ISBN":"978-1-4615-0697-3","note":"OCLC: 968649277","shortTitle":"Climate of israel","language":"English","author":[{"family":"Goldreich","give</w:instrText>
            </w:r>
            <w:r w:rsidRPr="001C2D28">
              <w:rPr>
                <w:rFonts w:asciiTheme="minorHAnsi" w:hAnsiTheme="minorHAnsi" w:cstheme="minorHAnsi"/>
                <w:sz w:val="20"/>
              </w:rPr>
              <w:instrText>n":"Yair"}],"issued":{"date-parts":[["2013"]]}}}],"schema":"https://github.com/citation-style-language/schema/raw/master/csl-citation.json"}</w:instrText>
            </w:r>
            <w:r w:rsidRPr="001C2D28">
              <w:rPr>
                <w:rFonts w:asciiTheme="minorHAnsi" w:hAnsiTheme="minorHAnsi" w:cstheme="minorHAnsi"/>
                <w:sz w:val="20"/>
              </w:rPr>
              <w:fldChar w:fldCharType="end"/>
            </w:r>
            <w:bookmarkStart w:id="6" w:name="__Fieldmark__170_2563305251"/>
            <w:bookmarkEnd w:id="6"/>
          </w:p>
        </w:tc>
      </w:tr>
      <w:tr w:rsidR="002B3B24" w:rsidRPr="001C2D28" w:rsidTr="00CE37D6">
        <w:trPr>
          <w:trHeight w:val="20"/>
        </w:trPr>
        <w:tc>
          <w:tcPr>
            <w:tcW w:w="3718" w:type="dxa"/>
            <w:shd w:val="clear" w:color="auto" w:fill="auto"/>
            <w:vAlign w:val="center"/>
          </w:tcPr>
          <w:p w:rsidR="002B3B24" w:rsidRPr="001C2D28" w:rsidRDefault="00841E23">
            <w:pPr>
              <w:bidi w:val="0"/>
              <w:spacing w:after="0" w:line="240" w:lineRule="auto"/>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Wet season</w:t>
            </w:r>
          </w:p>
        </w:tc>
        <w:tc>
          <w:tcPr>
            <w:tcW w:w="5220" w:type="dxa"/>
            <w:gridSpan w:val="2"/>
            <w:shd w:val="clear" w:color="auto" w:fill="auto"/>
            <w:vAlign w:val="center"/>
          </w:tcPr>
          <w:p w:rsidR="002B3B24" w:rsidRPr="001C2D28" w:rsidRDefault="00841E23">
            <w:pPr>
              <w:bidi w:val="0"/>
              <w:spacing w:after="0" w:line="240" w:lineRule="auto"/>
              <w:ind w:firstLine="0"/>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rPr>
              <w:t>December</w:t>
            </w:r>
            <w:r w:rsidRPr="001C2D28">
              <w:rPr>
                <w:rFonts w:asciiTheme="minorHAnsi" w:hAnsiTheme="minorHAnsi" w:cstheme="minorHAnsi"/>
                <w:sz w:val="20"/>
                <w:lang w:val="en-GB"/>
              </w:rPr>
              <w:t xml:space="preserve"> to March</w:t>
            </w:r>
          </w:p>
        </w:tc>
        <w:tc>
          <w:tcPr>
            <w:tcW w:w="3366" w:type="dxa"/>
            <w:vMerge/>
            <w:shd w:val="clear" w:color="auto" w:fill="auto"/>
            <w:vAlign w:val="center"/>
          </w:tcPr>
          <w:p w:rsidR="002B3B24" w:rsidRPr="001C2D28" w:rsidRDefault="002B3B24">
            <w:pPr>
              <w:bidi w:val="0"/>
              <w:spacing w:after="0" w:line="240" w:lineRule="auto"/>
              <w:rPr>
                <w:rFonts w:asciiTheme="minorHAnsi" w:hAnsiTheme="minorHAnsi" w:cstheme="minorHAnsi"/>
                <w:sz w:val="20"/>
                <w:lang w:val="en-GB"/>
              </w:rPr>
            </w:pPr>
          </w:p>
        </w:tc>
      </w:tr>
      <w:tr w:rsidR="002B3B24" w:rsidRPr="001C2D28" w:rsidTr="00CE37D6">
        <w:trPr>
          <w:trHeight w:val="20"/>
        </w:trPr>
        <w:tc>
          <w:tcPr>
            <w:tcW w:w="3718" w:type="dxa"/>
            <w:shd w:val="clear" w:color="auto" w:fill="auto"/>
            <w:vAlign w:val="center"/>
          </w:tcPr>
          <w:p w:rsidR="002B3B24" w:rsidRPr="001C2D28" w:rsidRDefault="00841E23">
            <w:pPr>
              <w:bidi w:val="0"/>
              <w:spacing w:after="0" w:line="240" w:lineRule="auto"/>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Mean annual rainy days</w:t>
            </w:r>
          </w:p>
        </w:tc>
        <w:tc>
          <w:tcPr>
            <w:tcW w:w="2393" w:type="dxa"/>
            <w:shd w:val="clear" w:color="auto" w:fill="auto"/>
            <w:vAlign w:val="center"/>
          </w:tcPr>
          <w:p w:rsidR="002B3B24" w:rsidRPr="001C2D28" w:rsidRDefault="00841E23">
            <w:pPr>
              <w:bidi w:val="0"/>
              <w:spacing w:after="0" w:line="240" w:lineRule="auto"/>
              <w:ind w:firstLine="0"/>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27</w:t>
            </w:r>
          </w:p>
        </w:tc>
        <w:tc>
          <w:tcPr>
            <w:tcW w:w="2827" w:type="dxa"/>
            <w:shd w:val="clear" w:color="auto" w:fill="auto"/>
            <w:vAlign w:val="center"/>
          </w:tcPr>
          <w:p w:rsidR="002B3B24" w:rsidRPr="001C2D28" w:rsidRDefault="00841E23">
            <w:pPr>
              <w:bidi w:val="0"/>
              <w:spacing w:after="0" w:line="240" w:lineRule="auto"/>
              <w:ind w:firstLine="0"/>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18</w:t>
            </w:r>
          </w:p>
        </w:tc>
        <w:tc>
          <w:tcPr>
            <w:tcW w:w="3366" w:type="dxa"/>
            <w:vMerge/>
            <w:shd w:val="clear" w:color="auto" w:fill="auto"/>
            <w:vAlign w:val="center"/>
          </w:tcPr>
          <w:p w:rsidR="002B3B24" w:rsidRPr="001C2D28" w:rsidRDefault="002B3B24">
            <w:pPr>
              <w:bidi w:val="0"/>
              <w:spacing w:after="0" w:line="240" w:lineRule="auto"/>
              <w:ind w:firstLine="0"/>
              <w:rPr>
                <w:rFonts w:asciiTheme="minorHAnsi" w:hAnsiTheme="minorHAnsi" w:cstheme="minorHAnsi"/>
                <w:sz w:val="20"/>
                <w:lang w:val="en-GB"/>
              </w:rPr>
            </w:pPr>
          </w:p>
        </w:tc>
      </w:tr>
      <w:tr w:rsidR="002B3B24" w:rsidRPr="001C2D28" w:rsidTr="00CE37D6">
        <w:trPr>
          <w:trHeight w:val="20"/>
        </w:trPr>
        <w:tc>
          <w:tcPr>
            <w:tcW w:w="3718" w:type="dxa"/>
            <w:shd w:val="clear" w:color="auto" w:fill="auto"/>
            <w:vAlign w:val="center"/>
          </w:tcPr>
          <w:p w:rsidR="002B3B24" w:rsidRPr="001C2D28" w:rsidRDefault="00841E23">
            <w:pPr>
              <w:bidi w:val="0"/>
              <w:spacing w:after="0" w:line="240" w:lineRule="auto"/>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Mean annual dew days</w:t>
            </w:r>
          </w:p>
        </w:tc>
        <w:tc>
          <w:tcPr>
            <w:tcW w:w="2393" w:type="dxa"/>
            <w:shd w:val="clear" w:color="auto" w:fill="auto"/>
            <w:vAlign w:val="center"/>
          </w:tcPr>
          <w:p w:rsidR="002B3B24" w:rsidRPr="001C2D28" w:rsidRDefault="00841E23">
            <w:pPr>
              <w:bidi w:val="0"/>
              <w:spacing w:after="0" w:line="240" w:lineRule="auto"/>
              <w:ind w:firstLine="0"/>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200</w:t>
            </w:r>
          </w:p>
        </w:tc>
        <w:tc>
          <w:tcPr>
            <w:tcW w:w="2827" w:type="dxa"/>
            <w:shd w:val="clear" w:color="auto" w:fill="auto"/>
            <w:vAlign w:val="center"/>
          </w:tcPr>
          <w:p w:rsidR="002B3B24" w:rsidRPr="001C2D28" w:rsidRDefault="00841E23">
            <w:pPr>
              <w:bidi w:val="0"/>
              <w:spacing w:after="0" w:line="240" w:lineRule="auto"/>
              <w:ind w:firstLine="0"/>
              <w:rPr>
                <w:rFonts w:asciiTheme="minorHAnsi" w:hAnsiTheme="minorHAnsi" w:cstheme="minorHAnsi"/>
                <w:lang w:val="en-GB"/>
              </w:rPr>
            </w:pPr>
            <w:r w:rsidRPr="001C2D28">
              <w:rPr>
                <w:rFonts w:asciiTheme="minorHAnsi" w:hAnsiTheme="minorHAnsi" w:cstheme="minorHAnsi"/>
                <w:sz w:val="20"/>
                <w:lang w:val="en-GB"/>
              </w:rPr>
              <w:t>NA</w:t>
            </w:r>
          </w:p>
        </w:tc>
        <w:tc>
          <w:tcPr>
            <w:tcW w:w="3366" w:type="dxa"/>
            <w:vMerge w:val="restart"/>
            <w:shd w:val="clear" w:color="auto" w:fill="auto"/>
            <w:vAlign w:val="center"/>
          </w:tcPr>
          <w:p w:rsidR="002B3B24" w:rsidRPr="001C2D28" w:rsidRDefault="00841E23">
            <w:pPr>
              <w:bidi w:val="0"/>
              <w:spacing w:after="0" w:line="240" w:lineRule="auto"/>
              <w:ind w:firstLine="0"/>
              <w:rPr>
                <w:rFonts w:asciiTheme="minorHAnsi" w:hAnsiTheme="minorHAnsi" w:cstheme="minorHAnsi"/>
                <w:lang w:val="en-GB"/>
              </w:rPr>
            </w:pPr>
            <w:r w:rsidRPr="001C2D28">
              <w:rPr>
                <w:rFonts w:asciiTheme="minorHAnsi" w:hAnsiTheme="minorHAnsi" w:cstheme="minorHAnsi"/>
                <w:sz w:val="20"/>
                <w:lang w:val="en-GB"/>
              </w:rPr>
              <w:t>(http://www.ims.gov.il/IMSEng/CLIMATE)</w:t>
            </w:r>
          </w:p>
        </w:tc>
      </w:tr>
      <w:tr w:rsidR="002B3B24" w:rsidRPr="001C2D28" w:rsidTr="00CE37D6">
        <w:trPr>
          <w:trHeight w:val="20"/>
        </w:trPr>
        <w:tc>
          <w:tcPr>
            <w:tcW w:w="3718" w:type="dxa"/>
            <w:shd w:val="clear" w:color="auto" w:fill="auto"/>
            <w:vAlign w:val="center"/>
          </w:tcPr>
          <w:p w:rsidR="002B3B24" w:rsidRPr="001C2D28" w:rsidRDefault="00841E23">
            <w:pPr>
              <w:bidi w:val="0"/>
              <w:spacing w:after="0" w:line="240" w:lineRule="auto"/>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Mean annual dew precipitation (mm)</w:t>
            </w:r>
          </w:p>
        </w:tc>
        <w:tc>
          <w:tcPr>
            <w:tcW w:w="2393" w:type="dxa"/>
            <w:shd w:val="clear" w:color="auto" w:fill="auto"/>
            <w:vAlign w:val="center"/>
          </w:tcPr>
          <w:p w:rsidR="002B3B24" w:rsidRPr="001C2D28" w:rsidRDefault="00841E23">
            <w:pPr>
              <w:bidi w:val="0"/>
              <w:spacing w:after="0" w:line="240" w:lineRule="auto"/>
              <w:ind w:firstLine="0"/>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20</w:t>
            </w:r>
          </w:p>
        </w:tc>
        <w:tc>
          <w:tcPr>
            <w:tcW w:w="2827" w:type="dxa"/>
            <w:shd w:val="clear" w:color="auto" w:fill="auto"/>
            <w:vAlign w:val="center"/>
          </w:tcPr>
          <w:p w:rsidR="002B3B24" w:rsidRPr="001C2D28" w:rsidRDefault="00841E23">
            <w:pPr>
              <w:bidi w:val="0"/>
              <w:spacing w:after="0" w:line="240" w:lineRule="auto"/>
              <w:ind w:firstLine="0"/>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NA</w:t>
            </w:r>
          </w:p>
        </w:tc>
        <w:tc>
          <w:tcPr>
            <w:tcW w:w="3366" w:type="dxa"/>
            <w:vMerge/>
            <w:shd w:val="clear" w:color="auto" w:fill="auto"/>
            <w:vAlign w:val="center"/>
          </w:tcPr>
          <w:p w:rsidR="002B3B24" w:rsidRPr="001C2D28" w:rsidRDefault="002B3B24">
            <w:pPr>
              <w:bidi w:val="0"/>
              <w:spacing w:after="0" w:line="240" w:lineRule="auto"/>
              <w:ind w:firstLine="0"/>
              <w:rPr>
                <w:rFonts w:asciiTheme="minorHAnsi" w:hAnsiTheme="minorHAnsi" w:cstheme="minorHAnsi"/>
                <w:sz w:val="20"/>
                <w:lang w:val="en-GB"/>
              </w:rPr>
            </w:pPr>
          </w:p>
        </w:tc>
      </w:tr>
      <w:tr w:rsidR="002B3B24" w:rsidRPr="001C2D28" w:rsidTr="00CE37D6">
        <w:trPr>
          <w:trHeight w:val="20"/>
        </w:trPr>
        <w:tc>
          <w:tcPr>
            <w:tcW w:w="3718" w:type="dxa"/>
            <w:shd w:val="clear" w:color="auto" w:fill="auto"/>
            <w:vAlign w:val="center"/>
          </w:tcPr>
          <w:p w:rsidR="002B3B24" w:rsidRPr="001C2D28" w:rsidRDefault="00841E23">
            <w:pPr>
              <w:bidi w:val="0"/>
              <w:spacing w:after="0" w:line="240" w:lineRule="auto"/>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Dewpoint (°C)</w:t>
            </w:r>
          </w:p>
        </w:tc>
        <w:tc>
          <w:tcPr>
            <w:tcW w:w="2393" w:type="dxa"/>
            <w:shd w:val="clear" w:color="auto" w:fill="auto"/>
            <w:vAlign w:val="center"/>
          </w:tcPr>
          <w:p w:rsidR="002B3B24" w:rsidRPr="001C2D28" w:rsidRDefault="00841E23">
            <w:pPr>
              <w:bidi w:val="0"/>
              <w:spacing w:after="0" w:line="240" w:lineRule="auto"/>
              <w:ind w:firstLine="0"/>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7-14</w:t>
            </w:r>
          </w:p>
        </w:tc>
        <w:tc>
          <w:tcPr>
            <w:tcW w:w="2827" w:type="dxa"/>
            <w:shd w:val="clear" w:color="auto" w:fill="auto"/>
            <w:vAlign w:val="center"/>
          </w:tcPr>
          <w:p w:rsidR="002B3B24" w:rsidRPr="001C2D28" w:rsidRDefault="00841E23">
            <w:pPr>
              <w:bidi w:val="0"/>
              <w:spacing w:after="0" w:line="240" w:lineRule="auto"/>
              <w:ind w:firstLine="0"/>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NA</w:t>
            </w:r>
          </w:p>
        </w:tc>
        <w:tc>
          <w:tcPr>
            <w:tcW w:w="3366" w:type="dxa"/>
            <w:vMerge/>
            <w:shd w:val="clear" w:color="auto" w:fill="auto"/>
            <w:vAlign w:val="center"/>
          </w:tcPr>
          <w:p w:rsidR="002B3B24" w:rsidRPr="001C2D28" w:rsidRDefault="002B3B24">
            <w:pPr>
              <w:bidi w:val="0"/>
              <w:spacing w:after="0" w:line="240" w:lineRule="auto"/>
              <w:ind w:firstLine="0"/>
              <w:rPr>
                <w:rFonts w:asciiTheme="minorHAnsi" w:hAnsiTheme="minorHAnsi" w:cstheme="minorHAnsi"/>
                <w:sz w:val="20"/>
                <w:lang w:val="en-GB"/>
              </w:rPr>
            </w:pPr>
          </w:p>
        </w:tc>
      </w:tr>
      <w:tr w:rsidR="002B3B24" w:rsidRPr="001C2D28" w:rsidTr="00CE37D6">
        <w:trPr>
          <w:trHeight w:val="20"/>
        </w:trPr>
        <w:tc>
          <w:tcPr>
            <w:tcW w:w="3718" w:type="dxa"/>
            <w:shd w:val="clear" w:color="auto" w:fill="auto"/>
            <w:vAlign w:val="center"/>
          </w:tcPr>
          <w:p w:rsidR="002B3B24" w:rsidRPr="001C2D28" w:rsidRDefault="00841E23">
            <w:pPr>
              <w:bidi w:val="0"/>
              <w:spacing w:after="0" w:line="240" w:lineRule="auto"/>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Mean annual foggy days</w:t>
            </w:r>
          </w:p>
        </w:tc>
        <w:tc>
          <w:tcPr>
            <w:tcW w:w="2393" w:type="dxa"/>
            <w:shd w:val="clear" w:color="auto" w:fill="auto"/>
            <w:vAlign w:val="center"/>
          </w:tcPr>
          <w:p w:rsidR="002B3B24" w:rsidRPr="001C2D28" w:rsidRDefault="00841E23">
            <w:pPr>
              <w:bidi w:val="0"/>
              <w:spacing w:after="0" w:line="240" w:lineRule="auto"/>
              <w:ind w:firstLine="0"/>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NA</w:t>
            </w:r>
          </w:p>
        </w:tc>
        <w:tc>
          <w:tcPr>
            <w:tcW w:w="2827" w:type="dxa"/>
            <w:shd w:val="clear" w:color="auto" w:fill="auto"/>
            <w:vAlign w:val="center"/>
          </w:tcPr>
          <w:p w:rsidR="002B3B24" w:rsidRPr="001C2D28" w:rsidRDefault="00841E23">
            <w:pPr>
              <w:bidi w:val="0"/>
              <w:spacing w:after="0" w:line="240" w:lineRule="auto"/>
              <w:ind w:firstLine="0"/>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3</w:t>
            </w:r>
          </w:p>
        </w:tc>
        <w:tc>
          <w:tcPr>
            <w:tcW w:w="3366" w:type="dxa"/>
            <w:vMerge/>
            <w:shd w:val="clear" w:color="auto" w:fill="auto"/>
            <w:vAlign w:val="center"/>
          </w:tcPr>
          <w:p w:rsidR="002B3B24" w:rsidRPr="001C2D28" w:rsidRDefault="002B3B24">
            <w:pPr>
              <w:bidi w:val="0"/>
              <w:spacing w:after="0" w:line="240" w:lineRule="auto"/>
              <w:ind w:firstLine="0"/>
              <w:rPr>
                <w:rFonts w:asciiTheme="minorHAnsi" w:hAnsiTheme="minorHAnsi" w:cstheme="minorHAnsi"/>
                <w:sz w:val="20"/>
                <w:lang w:val="en-GB"/>
              </w:rPr>
            </w:pPr>
          </w:p>
        </w:tc>
      </w:tr>
      <w:tr w:rsidR="002B3B24" w:rsidRPr="001C2D28" w:rsidTr="00CE37D6">
        <w:trPr>
          <w:trHeight w:val="20"/>
        </w:trPr>
        <w:tc>
          <w:tcPr>
            <w:tcW w:w="3718" w:type="dxa"/>
            <w:shd w:val="clear" w:color="auto" w:fill="auto"/>
            <w:vAlign w:val="center"/>
          </w:tcPr>
          <w:p w:rsidR="002B3B24" w:rsidRPr="001C2D28" w:rsidRDefault="00841E23">
            <w:pPr>
              <w:bidi w:val="0"/>
              <w:spacing w:after="0" w:line="240" w:lineRule="auto"/>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Mean annual temperature</w:t>
            </w:r>
            <w:r w:rsidR="00CE37D6" w:rsidRPr="001C2D28">
              <w:rPr>
                <w:rFonts w:asciiTheme="minorHAnsi" w:hAnsiTheme="minorHAnsi" w:cstheme="minorHAnsi"/>
                <w:sz w:val="20"/>
                <w:lang w:val="en-GB"/>
              </w:rPr>
              <w:t xml:space="preserve"> </w:t>
            </w:r>
            <w:r w:rsidRPr="001C2D28">
              <w:rPr>
                <w:rFonts w:asciiTheme="minorHAnsi" w:hAnsiTheme="minorHAnsi" w:cstheme="minorHAnsi"/>
                <w:sz w:val="20"/>
                <w:lang w:val="en-GB"/>
              </w:rPr>
              <w:t>(°C)</w:t>
            </w:r>
          </w:p>
        </w:tc>
        <w:tc>
          <w:tcPr>
            <w:tcW w:w="2393" w:type="dxa"/>
            <w:shd w:val="clear" w:color="auto" w:fill="auto"/>
            <w:vAlign w:val="center"/>
          </w:tcPr>
          <w:p w:rsidR="002B3B24" w:rsidRPr="001C2D28" w:rsidRDefault="00841E23">
            <w:pPr>
              <w:bidi w:val="0"/>
              <w:spacing w:after="0" w:line="240" w:lineRule="auto"/>
              <w:ind w:firstLine="0"/>
              <w:rPr>
                <w:rFonts w:asciiTheme="minorHAnsi" w:eastAsiaTheme="majorEastAsia" w:hAnsiTheme="minorHAnsi" w:cstheme="minorHAnsi"/>
                <w:lang w:val="en-GB"/>
              </w:rPr>
            </w:pPr>
            <w:r w:rsidRPr="001C2D28">
              <w:rPr>
                <w:rFonts w:asciiTheme="minorHAnsi" w:eastAsiaTheme="majorEastAsia" w:hAnsiTheme="minorHAnsi" w:cstheme="minorHAnsi"/>
                <w:sz w:val="20"/>
                <w:lang w:val="en-GB"/>
              </w:rPr>
              <w:t>24</w:t>
            </w:r>
          </w:p>
        </w:tc>
        <w:tc>
          <w:tcPr>
            <w:tcW w:w="2827" w:type="dxa"/>
            <w:shd w:val="clear" w:color="auto" w:fill="auto"/>
            <w:vAlign w:val="center"/>
          </w:tcPr>
          <w:p w:rsidR="002B3B24" w:rsidRPr="001C2D28" w:rsidRDefault="00841E23">
            <w:pPr>
              <w:bidi w:val="0"/>
              <w:spacing w:after="0" w:line="240" w:lineRule="auto"/>
              <w:ind w:firstLine="0"/>
              <w:rPr>
                <w:rFonts w:asciiTheme="minorHAnsi" w:eastAsiaTheme="majorEastAsia" w:hAnsiTheme="minorHAnsi" w:cstheme="minorHAnsi"/>
                <w:lang w:val="en-GB"/>
              </w:rPr>
            </w:pPr>
            <w:r w:rsidRPr="001C2D28">
              <w:rPr>
                <w:rFonts w:asciiTheme="minorHAnsi" w:eastAsiaTheme="majorEastAsia" w:hAnsiTheme="minorHAnsi" w:cstheme="minorHAnsi"/>
                <w:sz w:val="20"/>
                <w:lang w:val="en-GB"/>
              </w:rPr>
              <w:t>31</w:t>
            </w:r>
          </w:p>
        </w:tc>
        <w:tc>
          <w:tcPr>
            <w:tcW w:w="3366" w:type="dxa"/>
            <w:vMerge/>
            <w:shd w:val="clear" w:color="auto" w:fill="auto"/>
            <w:vAlign w:val="center"/>
          </w:tcPr>
          <w:p w:rsidR="002B3B24" w:rsidRPr="001C2D28" w:rsidRDefault="002B3B24">
            <w:pPr>
              <w:bidi w:val="0"/>
              <w:spacing w:after="0" w:line="240" w:lineRule="auto"/>
              <w:ind w:firstLine="0"/>
              <w:rPr>
                <w:rFonts w:asciiTheme="minorHAnsi" w:hAnsiTheme="minorHAnsi" w:cstheme="minorHAnsi"/>
                <w:sz w:val="20"/>
                <w:lang w:val="en-GB"/>
              </w:rPr>
            </w:pPr>
          </w:p>
        </w:tc>
      </w:tr>
      <w:tr w:rsidR="002B3B24" w:rsidRPr="001C2D28" w:rsidTr="00CE37D6">
        <w:trPr>
          <w:trHeight w:val="20"/>
        </w:trPr>
        <w:tc>
          <w:tcPr>
            <w:tcW w:w="3718" w:type="dxa"/>
            <w:shd w:val="clear" w:color="auto" w:fill="auto"/>
            <w:vAlign w:val="center"/>
          </w:tcPr>
          <w:p w:rsidR="002B3B24" w:rsidRPr="001C2D28" w:rsidRDefault="00841E23">
            <w:pPr>
              <w:bidi w:val="0"/>
              <w:spacing w:after="0" w:line="240" w:lineRule="auto"/>
              <w:rPr>
                <w:rFonts w:asciiTheme="minorHAnsi" w:eastAsiaTheme="majorEastAsia" w:hAnsiTheme="minorHAnsi" w:cstheme="minorHAnsi"/>
                <w:i/>
                <w:iCs/>
                <w:color w:val="4F81BD" w:themeColor="accent1"/>
                <w:lang w:val="en-GB"/>
              </w:rPr>
            </w:pPr>
            <w:r w:rsidRPr="001C2D28">
              <w:rPr>
                <w:rFonts w:asciiTheme="minorHAnsi" w:hAnsiTheme="minorHAnsi" w:cstheme="minorHAnsi"/>
                <w:sz w:val="20"/>
                <w:lang w:val="en-GB"/>
              </w:rPr>
              <w:t>Mean annual relative humidity (%)</w:t>
            </w:r>
          </w:p>
        </w:tc>
        <w:tc>
          <w:tcPr>
            <w:tcW w:w="2393" w:type="dxa"/>
            <w:shd w:val="clear" w:color="auto" w:fill="auto"/>
            <w:vAlign w:val="center"/>
          </w:tcPr>
          <w:p w:rsidR="002B3B24" w:rsidRPr="001C2D28" w:rsidRDefault="00841E23">
            <w:pPr>
              <w:bidi w:val="0"/>
              <w:spacing w:after="0" w:line="240" w:lineRule="auto"/>
              <w:ind w:firstLine="0"/>
              <w:rPr>
                <w:rFonts w:asciiTheme="minorHAnsi" w:eastAsiaTheme="majorEastAsia" w:hAnsiTheme="minorHAnsi" w:cstheme="minorHAnsi"/>
                <w:i/>
                <w:iCs/>
                <w:lang w:val="en-GB"/>
              </w:rPr>
            </w:pPr>
            <w:r w:rsidRPr="001C2D28">
              <w:rPr>
                <w:rFonts w:asciiTheme="minorHAnsi" w:hAnsiTheme="minorHAnsi" w:cstheme="minorHAnsi"/>
                <w:sz w:val="20"/>
                <w:lang w:val="en-GB"/>
              </w:rPr>
              <w:t>40</w:t>
            </w:r>
          </w:p>
        </w:tc>
        <w:tc>
          <w:tcPr>
            <w:tcW w:w="2827" w:type="dxa"/>
            <w:shd w:val="clear" w:color="auto" w:fill="auto"/>
            <w:vAlign w:val="center"/>
          </w:tcPr>
          <w:p w:rsidR="002B3B24" w:rsidRPr="001C2D28" w:rsidRDefault="00841E23">
            <w:pPr>
              <w:bidi w:val="0"/>
              <w:spacing w:after="0" w:line="240" w:lineRule="auto"/>
              <w:ind w:firstLine="0"/>
              <w:rPr>
                <w:rFonts w:asciiTheme="minorHAnsi" w:eastAsiaTheme="majorEastAsia" w:hAnsiTheme="minorHAnsi" w:cstheme="minorHAnsi"/>
                <w:i/>
                <w:iCs/>
                <w:lang w:val="en-GB"/>
              </w:rPr>
            </w:pPr>
            <w:r w:rsidRPr="001C2D28">
              <w:rPr>
                <w:rFonts w:asciiTheme="minorHAnsi" w:hAnsiTheme="minorHAnsi" w:cstheme="minorHAnsi"/>
                <w:sz w:val="20"/>
                <w:lang w:val="en-GB"/>
              </w:rPr>
              <w:t>NA</w:t>
            </w:r>
          </w:p>
        </w:tc>
        <w:tc>
          <w:tcPr>
            <w:tcW w:w="3366" w:type="dxa"/>
            <w:vMerge/>
            <w:shd w:val="clear" w:color="auto" w:fill="auto"/>
            <w:vAlign w:val="center"/>
          </w:tcPr>
          <w:p w:rsidR="002B3B24" w:rsidRPr="001C2D28" w:rsidRDefault="002B3B24">
            <w:pPr>
              <w:bidi w:val="0"/>
              <w:spacing w:after="0" w:line="240" w:lineRule="auto"/>
              <w:ind w:firstLine="0"/>
              <w:rPr>
                <w:rFonts w:asciiTheme="minorHAnsi" w:hAnsiTheme="minorHAnsi" w:cstheme="minorHAnsi"/>
                <w:sz w:val="20"/>
                <w:lang w:val="en-GB"/>
              </w:rPr>
            </w:pPr>
          </w:p>
        </w:tc>
      </w:tr>
    </w:tbl>
    <w:p w:rsidR="002B3B24" w:rsidRPr="001C2D28" w:rsidRDefault="002B3B24">
      <w:pPr>
        <w:bidi w:val="0"/>
        <w:rPr>
          <w:rFonts w:asciiTheme="minorHAnsi" w:hAnsiTheme="minorHAnsi" w:cstheme="minorHAnsi"/>
        </w:rPr>
      </w:pPr>
    </w:p>
    <w:p w:rsidR="002B3B24" w:rsidRPr="001C2D28" w:rsidRDefault="002B3B24">
      <w:pPr>
        <w:bidi w:val="0"/>
        <w:spacing w:after="200" w:line="276" w:lineRule="auto"/>
        <w:ind w:firstLine="0"/>
        <w:rPr>
          <w:rFonts w:asciiTheme="minorHAnsi" w:hAnsiTheme="minorHAnsi" w:cstheme="minorHAnsi"/>
        </w:rPr>
        <w:sectPr w:rsidR="002B3B24" w:rsidRPr="001C2D28" w:rsidSect="00F81C85">
          <w:pgSz w:w="16838" w:h="11906" w:orient="landscape"/>
          <w:pgMar w:top="1440" w:right="1440" w:bottom="1440" w:left="1440" w:header="0" w:footer="0" w:gutter="0"/>
          <w:cols w:space="720"/>
          <w:formProt w:val="0"/>
          <w:docGrid w:linePitch="360" w:charSpace="4096"/>
        </w:sectPr>
      </w:pPr>
    </w:p>
    <w:p w:rsidR="002B3B24" w:rsidRPr="001C2D28" w:rsidRDefault="00841E23">
      <w:pPr>
        <w:pStyle w:val="Heading2"/>
        <w:spacing w:line="480" w:lineRule="auto"/>
        <w:rPr>
          <w:rFonts w:asciiTheme="minorHAnsi" w:hAnsiTheme="minorHAnsi" w:cstheme="minorHAnsi"/>
          <w:lang w:val="en-GB"/>
        </w:rPr>
      </w:pPr>
      <w:r w:rsidRPr="001C2D28">
        <w:rPr>
          <w:rFonts w:asciiTheme="minorHAnsi" w:hAnsiTheme="minorHAnsi" w:cstheme="minorHAnsi"/>
          <w:lang w:val="en-GB"/>
        </w:rPr>
        <w:lastRenderedPageBreak/>
        <w:t>References</w:t>
      </w:r>
    </w:p>
    <w:p w:rsidR="002B3B24" w:rsidRPr="001C2D28" w:rsidRDefault="00841E23">
      <w:pPr>
        <w:pStyle w:val="Bibliography"/>
        <w:bidi w:val="0"/>
        <w:spacing w:line="360" w:lineRule="auto"/>
        <w:ind w:left="720" w:hanging="720"/>
        <w:rPr>
          <w:rFonts w:asciiTheme="minorHAnsi" w:hAnsiTheme="minorHAnsi" w:cstheme="minorHAnsi"/>
          <w:lang w:val="en-GB"/>
        </w:rPr>
      </w:pPr>
      <w:r w:rsidRPr="001C2D28">
        <w:rPr>
          <w:rFonts w:asciiTheme="minorHAnsi" w:hAnsiTheme="minorHAnsi" w:cstheme="minorHAnsi"/>
          <w:lang w:val="en-GB"/>
        </w:rPr>
        <w:t xml:space="preserve">Goldreich, Y. (2013). </w:t>
      </w:r>
      <w:r w:rsidRPr="001C2D28">
        <w:rPr>
          <w:rFonts w:asciiTheme="minorHAnsi" w:hAnsiTheme="minorHAnsi" w:cstheme="minorHAnsi"/>
          <w:i/>
          <w:iCs/>
          <w:lang w:val="en-GB"/>
        </w:rPr>
        <w:t>Climate of Israel: observation, research and application.</w:t>
      </w:r>
      <w:r w:rsidRPr="001C2D28">
        <w:rPr>
          <w:rFonts w:asciiTheme="minorHAnsi" w:hAnsiTheme="minorHAnsi" w:cstheme="minorHAnsi"/>
          <w:lang w:val="en-GB"/>
        </w:rPr>
        <w:t xml:space="preserve"> Place of publication not identified: Springer.</w:t>
      </w:r>
    </w:p>
    <w:p w:rsidR="002B3B24" w:rsidRPr="001C2D28" w:rsidRDefault="00841E23">
      <w:pPr>
        <w:pStyle w:val="Bibliography"/>
        <w:bidi w:val="0"/>
        <w:spacing w:line="360" w:lineRule="auto"/>
        <w:ind w:left="720" w:hanging="720"/>
        <w:rPr>
          <w:rFonts w:asciiTheme="minorHAnsi" w:hAnsiTheme="minorHAnsi" w:cstheme="minorHAnsi"/>
        </w:rPr>
      </w:pPr>
      <w:r w:rsidRPr="001C2D28">
        <w:rPr>
          <w:rFonts w:asciiTheme="minorHAnsi" w:hAnsiTheme="minorHAnsi" w:cstheme="minorHAnsi"/>
          <w:lang w:val="en-GB"/>
        </w:rPr>
        <w:t>Bruins, H. J. (2012). Ancient desert agriculture in the Negev and climate-zone boundary changes during average, wet and drought y</w:t>
      </w:r>
      <w:r w:rsidRPr="001C2D28">
        <w:rPr>
          <w:rFonts w:asciiTheme="minorHAnsi" w:hAnsiTheme="minorHAnsi" w:cstheme="minorHAnsi"/>
          <w:lang w:val="en-GB"/>
        </w:rPr>
        <w:t xml:space="preserve">ears. </w:t>
      </w:r>
      <w:r w:rsidRPr="001C2D28">
        <w:rPr>
          <w:rFonts w:asciiTheme="minorHAnsi" w:hAnsiTheme="minorHAnsi" w:cstheme="minorHAnsi"/>
          <w:i/>
          <w:iCs/>
          <w:lang w:val="en-GB"/>
        </w:rPr>
        <w:t>Journal of Arid Environments</w:t>
      </w:r>
      <w:r w:rsidRPr="001C2D28">
        <w:rPr>
          <w:rFonts w:asciiTheme="minorHAnsi" w:hAnsiTheme="minorHAnsi" w:cstheme="minorHAnsi"/>
          <w:lang w:val="en-GB"/>
        </w:rPr>
        <w:t xml:space="preserve">, </w:t>
      </w:r>
      <w:r w:rsidRPr="001C2D28">
        <w:rPr>
          <w:rFonts w:asciiTheme="minorHAnsi" w:hAnsiTheme="minorHAnsi" w:cstheme="minorHAnsi"/>
          <w:i/>
          <w:iCs/>
          <w:lang w:val="en-GB"/>
        </w:rPr>
        <w:t>86</w:t>
      </w:r>
      <w:r w:rsidRPr="001C2D28">
        <w:rPr>
          <w:rFonts w:asciiTheme="minorHAnsi" w:hAnsiTheme="minorHAnsi" w:cstheme="minorHAnsi"/>
          <w:lang w:val="en-GB"/>
        </w:rPr>
        <w:t xml:space="preserve">, 28–42. </w:t>
      </w:r>
      <w:hyperlink r:id="rId5">
        <w:r w:rsidRPr="001C2D28">
          <w:rPr>
            <w:rStyle w:val="InternetLink"/>
            <w:rFonts w:asciiTheme="minorHAnsi" w:hAnsiTheme="minorHAnsi" w:cstheme="minorHAnsi"/>
            <w:lang w:val="en-GB"/>
          </w:rPr>
          <w:t>https://doi.org/10.1016/j.jaridenv.2012.01.015</w:t>
        </w:r>
      </w:hyperlink>
    </w:p>
    <w:p w:rsidR="002B3B24" w:rsidRPr="001C2D28" w:rsidRDefault="00841E23">
      <w:pPr>
        <w:pStyle w:val="Bibliography"/>
        <w:bidi w:val="0"/>
        <w:spacing w:line="360" w:lineRule="auto"/>
        <w:ind w:left="720" w:hanging="720"/>
        <w:rPr>
          <w:rFonts w:asciiTheme="minorHAnsi" w:hAnsiTheme="minorHAnsi" w:cstheme="minorHAnsi"/>
        </w:rPr>
      </w:pPr>
      <w:r w:rsidRPr="001C2D28">
        <w:rPr>
          <w:rFonts w:asciiTheme="minorHAnsi" w:hAnsiTheme="minorHAnsi" w:cstheme="minorHAnsi"/>
        </w:rPr>
        <w:t xml:space="preserve">Wieler, N., Avni, Y., &amp; Rosensaft, M. (2016). </w:t>
      </w:r>
      <w:r w:rsidRPr="001C2D28">
        <w:rPr>
          <w:rFonts w:asciiTheme="minorHAnsi" w:hAnsiTheme="minorHAnsi" w:cstheme="minorHAnsi"/>
          <w:lang w:val="en-GB"/>
        </w:rPr>
        <w:t>The significance of the geological strata on deser</w:t>
      </w:r>
      <w:r w:rsidRPr="001C2D28">
        <w:rPr>
          <w:rFonts w:asciiTheme="minorHAnsi" w:hAnsiTheme="minorHAnsi" w:cstheme="minorHAnsi"/>
          <w:lang w:val="en-GB"/>
        </w:rPr>
        <w:t xml:space="preserve">t runoff agriculture: Indications for stable desert environment over the last 1600 years in southern Israel. </w:t>
      </w:r>
      <w:r w:rsidRPr="001C2D28">
        <w:rPr>
          <w:rFonts w:asciiTheme="minorHAnsi" w:hAnsiTheme="minorHAnsi" w:cstheme="minorHAnsi"/>
          <w:i/>
          <w:iCs/>
          <w:lang w:val="en-GB"/>
        </w:rPr>
        <w:t>Journal of Arid Environments</w:t>
      </w:r>
      <w:r w:rsidRPr="001C2D28">
        <w:rPr>
          <w:rFonts w:asciiTheme="minorHAnsi" w:hAnsiTheme="minorHAnsi" w:cstheme="minorHAnsi"/>
          <w:lang w:val="en-GB"/>
        </w:rPr>
        <w:t xml:space="preserve">, </w:t>
      </w:r>
      <w:r w:rsidRPr="001C2D28">
        <w:rPr>
          <w:rFonts w:asciiTheme="minorHAnsi" w:hAnsiTheme="minorHAnsi" w:cstheme="minorHAnsi"/>
          <w:i/>
          <w:iCs/>
          <w:lang w:val="en-GB"/>
        </w:rPr>
        <w:t>135</w:t>
      </w:r>
      <w:r w:rsidRPr="001C2D28">
        <w:rPr>
          <w:rFonts w:asciiTheme="minorHAnsi" w:hAnsiTheme="minorHAnsi" w:cstheme="minorHAnsi"/>
          <w:lang w:val="en-GB"/>
        </w:rPr>
        <w:t xml:space="preserve">, 147–163. </w:t>
      </w:r>
      <w:hyperlink r:id="rId6">
        <w:r w:rsidRPr="001C2D28">
          <w:rPr>
            <w:rStyle w:val="InternetLink"/>
            <w:rFonts w:asciiTheme="minorHAnsi" w:hAnsiTheme="minorHAnsi" w:cstheme="minorHAnsi"/>
            <w:lang w:val="en-GB"/>
          </w:rPr>
          <w:t>https://doi.org/10.1016/j.jaridenv.20</w:t>
        </w:r>
        <w:r w:rsidRPr="001C2D28">
          <w:rPr>
            <w:rStyle w:val="InternetLink"/>
            <w:rFonts w:asciiTheme="minorHAnsi" w:hAnsiTheme="minorHAnsi" w:cstheme="minorHAnsi"/>
            <w:lang w:val="en-GB"/>
          </w:rPr>
          <w:t>16.08.010</w:t>
        </w:r>
      </w:hyperlink>
    </w:p>
    <w:p w:rsidR="002B3B24" w:rsidRPr="001C2D28" w:rsidRDefault="002B3B24">
      <w:pPr>
        <w:bidi w:val="0"/>
        <w:rPr>
          <w:rFonts w:asciiTheme="minorHAnsi" w:hAnsiTheme="minorHAnsi" w:cstheme="minorHAnsi"/>
          <w:lang w:val="en-GB"/>
        </w:rPr>
      </w:pPr>
    </w:p>
    <w:p w:rsidR="002B3B24" w:rsidRPr="001C2D28" w:rsidRDefault="002B3B24">
      <w:pPr>
        <w:bidi w:val="0"/>
        <w:rPr>
          <w:rFonts w:asciiTheme="minorHAnsi" w:hAnsiTheme="minorHAnsi" w:cstheme="minorHAnsi"/>
          <w:lang w:val="en-GB"/>
        </w:rPr>
      </w:pPr>
    </w:p>
    <w:p w:rsidR="002B3B24" w:rsidRPr="001C2D28" w:rsidRDefault="002B3B24">
      <w:pPr>
        <w:bidi w:val="0"/>
        <w:rPr>
          <w:rFonts w:asciiTheme="minorHAnsi" w:hAnsiTheme="minorHAnsi" w:cstheme="minorHAnsi"/>
          <w:lang w:val="en-GB"/>
        </w:rPr>
      </w:pPr>
    </w:p>
    <w:p w:rsidR="002B3B24" w:rsidRPr="001C2D28" w:rsidRDefault="002B3B24">
      <w:pPr>
        <w:bidi w:val="0"/>
        <w:rPr>
          <w:rFonts w:asciiTheme="minorHAnsi" w:hAnsiTheme="minorHAnsi" w:cstheme="minorHAnsi"/>
        </w:rPr>
      </w:pPr>
    </w:p>
    <w:sectPr w:rsidR="002B3B24" w:rsidRPr="001C2D28" w:rsidSect="00CE37D6">
      <w:pgSz w:w="11906" w:h="16838" w:code="9"/>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10600030101010101"/>
    <w:charset w:val="86"/>
    <w:family w:val="auto"/>
    <w:pitch w:val="variable"/>
    <w:sig w:usb0="00000001" w:usb1="080E0000" w:usb2="00000010" w:usb3="00000000" w:csb0="00040000" w:csb1="00000000"/>
  </w:font>
  <w:font w:name="Noto Sans Devanagari">
    <w:altName w:val="Arial"/>
    <w:panose1 w:val="020B0606030804020204"/>
    <w:charset w:val="00"/>
    <w:family w:val="swiss"/>
    <w:pitch w:val="variable"/>
    <w:sig w:usb0="00008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B24"/>
    <w:rsid w:val="001C2D28"/>
    <w:rsid w:val="00234FF5"/>
    <w:rsid w:val="002B3B24"/>
    <w:rsid w:val="00495E7F"/>
    <w:rsid w:val="007C1769"/>
    <w:rsid w:val="00841E23"/>
    <w:rsid w:val="00A120DD"/>
    <w:rsid w:val="00CE37D6"/>
    <w:rsid w:val="00DA2BB5"/>
    <w:rsid w:val="00F81C8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671"/>
    <w:pPr>
      <w:bidi/>
      <w:spacing w:after="240" w:line="480" w:lineRule="auto"/>
      <w:ind w:firstLine="360"/>
    </w:pPr>
    <w:rPr>
      <w:rFonts w:ascii="Calibri" w:eastAsiaTheme="minorEastAsia" w:hAnsi="Calibri"/>
      <w:lang w:bidi="he-IL"/>
    </w:rPr>
  </w:style>
  <w:style w:type="paragraph" w:styleId="Heading2">
    <w:name w:val="heading 2"/>
    <w:basedOn w:val="Normal"/>
    <w:next w:val="Normal"/>
    <w:link w:val="Heading2Char"/>
    <w:uiPriority w:val="9"/>
    <w:unhideWhenUsed/>
    <w:qFormat/>
    <w:rsid w:val="00601671"/>
    <w:pPr>
      <w:bidi w:val="0"/>
      <w:spacing w:before="320" w:after="0" w:line="360" w:lineRule="auto"/>
      <w:ind w:firstLine="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qFormat/>
    <w:rsid w:val="00601671"/>
    <w:rPr>
      <w:rFonts w:asciiTheme="majorHAnsi" w:eastAsiaTheme="majorEastAsia" w:hAnsiTheme="majorHAnsi" w:cstheme="majorBidi"/>
      <w:b/>
      <w:bCs/>
      <w:i/>
      <w:iCs/>
      <w:sz w:val="28"/>
      <w:szCs w:val="28"/>
      <w:lang w:bidi="he-IL"/>
    </w:rPr>
  </w:style>
  <w:style w:type="character" w:customStyle="1" w:styleId="InternetLink">
    <w:name w:val="Internet Link"/>
    <w:basedOn w:val="DefaultParagraphFont"/>
    <w:uiPriority w:val="99"/>
    <w:unhideWhenUsed/>
    <w:rsid w:val="00601671"/>
    <w:rPr>
      <w:color w:val="0000FF" w:themeColor="hyperlink"/>
      <w:u w:val="single"/>
    </w:rPr>
  </w:style>
  <w:style w:type="character" w:customStyle="1" w:styleId="ListLabel1">
    <w:name w:val="ListLabel 1"/>
    <w:qFormat/>
    <w:rPr>
      <w:rFonts w:ascii="Calibri" w:hAnsi="Calibri" w:cs="Calibri"/>
      <w:lang w:val="en-GB"/>
    </w:rPr>
  </w:style>
  <w:style w:type="paragraph" w:customStyle="1" w:styleId="Heading">
    <w:name w:val="Heading"/>
    <w:basedOn w:val="Normal"/>
    <w:next w:val="BodyText"/>
    <w:qFormat/>
    <w:pPr>
      <w:keepNext/>
      <w:spacing w:before="240" w:after="120"/>
    </w:pPr>
    <w:rPr>
      <w:rFonts w:ascii="Liberation Sans" w:eastAsia="AR PL SungtiL GB" w:hAnsi="Liberation Sans"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Bibliography">
    <w:name w:val="Bibliography"/>
    <w:basedOn w:val="Normal"/>
    <w:next w:val="Normal"/>
    <w:uiPriority w:val="37"/>
    <w:semiHidden/>
    <w:unhideWhenUsed/>
    <w:qFormat/>
    <w:rsid w:val="00601671"/>
  </w:style>
  <w:style w:type="table" w:styleId="TableGrid">
    <w:name w:val="Table Grid"/>
    <w:basedOn w:val="TableNormal"/>
    <w:uiPriority w:val="39"/>
    <w:rsid w:val="00601671"/>
    <w:rPr>
      <w:rFonts w:eastAsiaTheme="minorEastAsia"/>
      <w:sz w:val="20"/>
      <w:lang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495E7F"/>
    <w:pPr>
      <w:bidi w:val="0"/>
      <w:spacing w:before="100" w:beforeAutospacing="1" w:after="142" w:line="276" w:lineRule="auto"/>
      <w:ind w:firstLine="0"/>
    </w:pPr>
    <w:rPr>
      <w:rFonts w:ascii="Times New Roman" w:eastAsia="Times New Roman" w:hAnsi="Times New Roman" w:cs="Times New Roman"/>
      <w:sz w:val="24"/>
      <w:szCs w:val="24"/>
    </w:rPr>
  </w:style>
  <w:style w:type="character" w:styleId="LineNumber">
    <w:name w:val="line number"/>
    <w:basedOn w:val="DefaultParagraphFont"/>
    <w:uiPriority w:val="99"/>
    <w:semiHidden/>
    <w:unhideWhenUsed/>
    <w:rsid w:val="00DA2B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671"/>
    <w:pPr>
      <w:bidi/>
      <w:spacing w:after="240" w:line="480" w:lineRule="auto"/>
      <w:ind w:firstLine="360"/>
    </w:pPr>
    <w:rPr>
      <w:rFonts w:ascii="Calibri" w:eastAsiaTheme="minorEastAsia" w:hAnsi="Calibri"/>
      <w:lang w:bidi="he-IL"/>
    </w:rPr>
  </w:style>
  <w:style w:type="paragraph" w:styleId="Heading2">
    <w:name w:val="heading 2"/>
    <w:basedOn w:val="Normal"/>
    <w:next w:val="Normal"/>
    <w:link w:val="Heading2Char"/>
    <w:uiPriority w:val="9"/>
    <w:unhideWhenUsed/>
    <w:qFormat/>
    <w:rsid w:val="00601671"/>
    <w:pPr>
      <w:bidi w:val="0"/>
      <w:spacing w:before="320" w:after="0" w:line="360" w:lineRule="auto"/>
      <w:ind w:firstLine="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qFormat/>
    <w:rsid w:val="00601671"/>
    <w:rPr>
      <w:rFonts w:asciiTheme="majorHAnsi" w:eastAsiaTheme="majorEastAsia" w:hAnsiTheme="majorHAnsi" w:cstheme="majorBidi"/>
      <w:b/>
      <w:bCs/>
      <w:i/>
      <w:iCs/>
      <w:sz w:val="28"/>
      <w:szCs w:val="28"/>
      <w:lang w:bidi="he-IL"/>
    </w:rPr>
  </w:style>
  <w:style w:type="character" w:customStyle="1" w:styleId="InternetLink">
    <w:name w:val="Internet Link"/>
    <w:basedOn w:val="DefaultParagraphFont"/>
    <w:uiPriority w:val="99"/>
    <w:unhideWhenUsed/>
    <w:rsid w:val="00601671"/>
    <w:rPr>
      <w:color w:val="0000FF" w:themeColor="hyperlink"/>
      <w:u w:val="single"/>
    </w:rPr>
  </w:style>
  <w:style w:type="character" w:customStyle="1" w:styleId="ListLabel1">
    <w:name w:val="ListLabel 1"/>
    <w:qFormat/>
    <w:rPr>
      <w:rFonts w:ascii="Calibri" w:hAnsi="Calibri" w:cs="Calibri"/>
      <w:lang w:val="en-GB"/>
    </w:rPr>
  </w:style>
  <w:style w:type="paragraph" w:customStyle="1" w:styleId="Heading">
    <w:name w:val="Heading"/>
    <w:basedOn w:val="Normal"/>
    <w:next w:val="BodyText"/>
    <w:qFormat/>
    <w:pPr>
      <w:keepNext/>
      <w:spacing w:before="240" w:after="120"/>
    </w:pPr>
    <w:rPr>
      <w:rFonts w:ascii="Liberation Sans" w:eastAsia="AR PL SungtiL GB" w:hAnsi="Liberation Sans"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Bibliography">
    <w:name w:val="Bibliography"/>
    <w:basedOn w:val="Normal"/>
    <w:next w:val="Normal"/>
    <w:uiPriority w:val="37"/>
    <w:semiHidden/>
    <w:unhideWhenUsed/>
    <w:qFormat/>
    <w:rsid w:val="00601671"/>
  </w:style>
  <w:style w:type="table" w:styleId="TableGrid">
    <w:name w:val="Table Grid"/>
    <w:basedOn w:val="TableNormal"/>
    <w:uiPriority w:val="39"/>
    <w:rsid w:val="00601671"/>
    <w:rPr>
      <w:rFonts w:eastAsiaTheme="minorEastAsia"/>
      <w:sz w:val="20"/>
      <w:lang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495E7F"/>
    <w:pPr>
      <w:bidi w:val="0"/>
      <w:spacing w:before="100" w:beforeAutospacing="1" w:after="142" w:line="276" w:lineRule="auto"/>
      <w:ind w:firstLine="0"/>
    </w:pPr>
    <w:rPr>
      <w:rFonts w:ascii="Times New Roman" w:eastAsia="Times New Roman" w:hAnsi="Times New Roman" w:cs="Times New Roman"/>
      <w:sz w:val="24"/>
      <w:szCs w:val="24"/>
    </w:rPr>
  </w:style>
  <w:style w:type="character" w:styleId="LineNumber">
    <w:name w:val="line number"/>
    <w:basedOn w:val="DefaultParagraphFont"/>
    <w:uiPriority w:val="99"/>
    <w:semiHidden/>
    <w:unhideWhenUsed/>
    <w:rsid w:val="00DA2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742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doi.org/10.1016/j.jaridenv.2016.08.010" TargetMode="External"/><Relationship Id="rId5" Type="http://schemas.openxmlformats.org/officeDocument/2006/relationships/hyperlink" Target="https://doi.org/10.1016/j.jaridenv.2012.01.01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1570</Words>
  <Characters>8951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dc:creator>
  <dc:description/>
  <cp:lastModifiedBy>Angel</cp:lastModifiedBy>
  <cp:revision>11</cp:revision>
  <dcterms:created xsi:type="dcterms:W3CDTF">2018-09-18T07:17:00Z</dcterms:created>
  <dcterms:modified xsi:type="dcterms:W3CDTF">2018-09-19T10:30:00Z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