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715CE" w14:textId="2FA919FA" w:rsidR="006D1E9E" w:rsidRPr="00253A5C" w:rsidRDefault="00D962D4" w:rsidP="00253A5C">
      <w:pPr>
        <w:spacing w:line="36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253A5C">
        <w:rPr>
          <w:rFonts w:ascii="Times New Roman" w:hAnsi="Times New Roman" w:cs="Times New Roman"/>
          <w:color w:val="0000FF"/>
          <w:sz w:val="24"/>
          <w:szCs w:val="24"/>
        </w:rPr>
        <w:t>Response:</w:t>
      </w:r>
    </w:p>
    <w:p w14:paraId="055664B0" w14:textId="7379B69C" w:rsidR="00660464" w:rsidRPr="00253A5C" w:rsidRDefault="00660464" w:rsidP="00253A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3A5C">
        <w:rPr>
          <w:rFonts w:ascii="Times New Roman" w:hAnsi="Times New Roman" w:cs="Times New Roman"/>
          <w:color w:val="0000FF"/>
          <w:sz w:val="24"/>
          <w:szCs w:val="24"/>
        </w:rPr>
        <w:t>CE1:</w:t>
      </w:r>
      <w:r w:rsidRPr="00253A5C">
        <w:rPr>
          <w:rFonts w:ascii="Times New Roman" w:hAnsi="Times New Roman" w:cs="Times New Roman"/>
          <w:sz w:val="24"/>
          <w:szCs w:val="24"/>
        </w:rPr>
        <w:t xml:space="preserve"> Thanks for the corrections.</w:t>
      </w:r>
    </w:p>
    <w:p w14:paraId="3F5AB8A3" w14:textId="5FF6165F" w:rsidR="00D962D4" w:rsidRPr="00253A5C" w:rsidRDefault="00AF0267" w:rsidP="00253A5C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253A5C">
        <w:rPr>
          <w:rFonts w:ascii="Times New Roman" w:hAnsi="Times New Roman" w:cs="Times New Roman"/>
          <w:color w:val="0000FF"/>
          <w:sz w:val="24"/>
          <w:szCs w:val="24"/>
        </w:rPr>
        <w:t>TS1:</w:t>
      </w:r>
      <w:r w:rsidRPr="00253A5C">
        <w:rPr>
          <w:rFonts w:ascii="Times New Roman" w:hAnsi="Times New Roman" w:cs="Times New Roman"/>
          <w:sz w:val="24"/>
          <w:szCs w:val="24"/>
        </w:rPr>
        <w:t xml:space="preserve"> Dear editor, the current legend </w:t>
      </w:r>
      <w:r w:rsidR="00512F4D" w:rsidRPr="00253A5C">
        <w:rPr>
          <w:rFonts w:ascii="Times New Roman" w:hAnsi="Times New Roman" w:cs="Times New Roman"/>
          <w:sz w:val="24"/>
          <w:szCs w:val="24"/>
        </w:rPr>
        <w:t xml:space="preserve">in </w:t>
      </w:r>
      <w:r w:rsidR="00132F84" w:rsidRPr="00253A5C">
        <w:rPr>
          <w:rFonts w:ascii="Times New Roman" w:hAnsi="Times New Roman" w:cs="Times New Roman"/>
          <w:sz w:val="24"/>
          <w:szCs w:val="24"/>
        </w:rPr>
        <w:t>P</w:t>
      </w:r>
      <w:r w:rsidR="00512F4D" w:rsidRPr="00253A5C">
        <w:rPr>
          <w:rFonts w:ascii="Times New Roman" w:hAnsi="Times New Roman" w:cs="Times New Roman"/>
          <w:sz w:val="24"/>
          <w:szCs w:val="24"/>
        </w:rPr>
        <w:t>roofreading File</w:t>
      </w:r>
      <w:r w:rsidR="00512F4D" w:rsidRPr="00253A5C">
        <w:rPr>
          <w:rFonts w:ascii="Times New Roman" w:hAnsi="Times New Roman" w:cs="Times New Roman"/>
          <w:sz w:val="24"/>
          <w:szCs w:val="24"/>
        </w:rPr>
        <w:t xml:space="preserve"> </w:t>
      </w:r>
      <w:r w:rsidR="00B36E68" w:rsidRPr="00253A5C">
        <w:rPr>
          <w:rFonts w:ascii="Times New Roman" w:hAnsi="Times New Roman" w:cs="Times New Roman"/>
          <w:sz w:val="24"/>
          <w:szCs w:val="24"/>
        </w:rPr>
        <w:t xml:space="preserve">is </w:t>
      </w:r>
      <w:r w:rsidR="00512F4D" w:rsidRPr="00253A5C">
        <w:rPr>
          <w:rFonts w:ascii="Times New Roman" w:hAnsi="Times New Roman" w:cs="Times New Roman"/>
          <w:sz w:val="24"/>
          <w:szCs w:val="24"/>
        </w:rPr>
        <w:t xml:space="preserve">for an initial figure that has been </w:t>
      </w:r>
      <w:r w:rsidR="00301844" w:rsidRPr="00253A5C">
        <w:rPr>
          <w:rFonts w:ascii="Times New Roman" w:hAnsi="Times New Roman" w:cs="Times New Roman"/>
          <w:sz w:val="24"/>
          <w:szCs w:val="24"/>
        </w:rPr>
        <w:t>re</w:t>
      </w:r>
      <w:r w:rsidR="00F930DE" w:rsidRPr="00253A5C">
        <w:rPr>
          <w:rFonts w:ascii="Times New Roman" w:hAnsi="Times New Roman" w:cs="Times New Roman"/>
          <w:sz w:val="24"/>
          <w:szCs w:val="24"/>
        </w:rPr>
        <w:t>moved</w:t>
      </w:r>
      <w:r w:rsidR="004960F1">
        <w:rPr>
          <w:rFonts w:ascii="Times New Roman" w:hAnsi="Times New Roman" w:cs="Times New Roman"/>
          <w:sz w:val="24"/>
          <w:szCs w:val="24"/>
        </w:rPr>
        <w:t xml:space="preserve"> during the review process</w:t>
      </w:r>
      <w:r w:rsidR="00301844" w:rsidRPr="00253A5C">
        <w:rPr>
          <w:rFonts w:ascii="Times New Roman" w:hAnsi="Times New Roman" w:cs="Times New Roman"/>
          <w:sz w:val="24"/>
          <w:szCs w:val="24"/>
        </w:rPr>
        <w:t xml:space="preserve">, and </w:t>
      </w:r>
      <w:r w:rsidRPr="00253A5C">
        <w:rPr>
          <w:rFonts w:ascii="Times New Roman" w:hAnsi="Times New Roman" w:cs="Times New Roman"/>
          <w:sz w:val="24"/>
          <w:szCs w:val="24"/>
        </w:rPr>
        <w:t xml:space="preserve">does not match the contents in </w:t>
      </w:r>
      <w:r w:rsidR="00301844" w:rsidRPr="00253A5C">
        <w:rPr>
          <w:rFonts w:ascii="Times New Roman" w:hAnsi="Times New Roman" w:cs="Times New Roman"/>
          <w:sz w:val="24"/>
          <w:szCs w:val="24"/>
        </w:rPr>
        <w:t xml:space="preserve">final </w:t>
      </w:r>
      <w:r w:rsidRPr="00253A5C">
        <w:rPr>
          <w:rFonts w:ascii="Times New Roman" w:hAnsi="Times New Roman" w:cs="Times New Roman"/>
          <w:sz w:val="24"/>
          <w:szCs w:val="24"/>
        </w:rPr>
        <w:t>figure 4.</w:t>
      </w:r>
      <w:r w:rsidR="00097EE8" w:rsidRPr="00253A5C">
        <w:rPr>
          <w:rFonts w:ascii="Times New Roman" w:hAnsi="Times New Roman" w:cs="Times New Roman"/>
          <w:sz w:val="24"/>
          <w:szCs w:val="24"/>
        </w:rPr>
        <w:t xml:space="preserve"> Therefore, </w:t>
      </w:r>
      <w:r w:rsidR="00F930DE" w:rsidRPr="00253A5C">
        <w:rPr>
          <w:rFonts w:ascii="Times New Roman" w:hAnsi="Times New Roman" w:cs="Times New Roman"/>
          <w:sz w:val="24"/>
          <w:szCs w:val="24"/>
        </w:rPr>
        <w:t xml:space="preserve">the legend in figure 4 needs to be replaced </w:t>
      </w:r>
      <w:r w:rsidR="004960F1">
        <w:rPr>
          <w:rFonts w:ascii="Times New Roman" w:hAnsi="Times New Roman" w:cs="Times New Roman"/>
          <w:sz w:val="24"/>
          <w:szCs w:val="24"/>
        </w:rPr>
        <w:t>by</w:t>
      </w:r>
      <w:r w:rsidR="00F930DE" w:rsidRPr="00253A5C">
        <w:rPr>
          <w:rFonts w:ascii="Times New Roman" w:hAnsi="Times New Roman" w:cs="Times New Roman"/>
          <w:sz w:val="24"/>
          <w:szCs w:val="24"/>
        </w:rPr>
        <w:t xml:space="preserve"> the following sentences: “</w:t>
      </w:r>
      <w:bookmarkStart w:id="0" w:name="OLE_LINK101"/>
      <w:bookmarkStart w:id="1" w:name="OLE_LINK102"/>
      <w:r w:rsidR="00A67909" w:rsidRPr="00253A5C">
        <w:rPr>
          <w:rFonts w:ascii="Times New Roman" w:eastAsia="等线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Figure 4</w:t>
      </w:r>
      <w:r w:rsidR="00CA6687" w:rsidRPr="00253A5C">
        <w:rPr>
          <w:rFonts w:ascii="Times New Roman" w:eastAsia="等线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.</w:t>
      </w:r>
      <w:r w:rsidR="00A67909" w:rsidRPr="00253A5C">
        <w:rPr>
          <w:rFonts w:ascii="Times New Roman" w:eastAsia="等线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The relative </w:t>
      </w:r>
      <w:r w:rsidR="00A67909" w:rsidRPr="00253A5C">
        <w:rPr>
          <w:rFonts w:ascii="Times New Roman" w:eastAsia="等线" w:hAnsi="Times New Roman" w:cs="Times New Roman"/>
          <w:color w:val="000000" w:themeColor="text1"/>
          <w:sz w:val="24"/>
          <w:szCs w:val="24"/>
        </w:rPr>
        <w:t>contributions of the local indicators in explaining the spatial patterns of mean annual NEP.</w:t>
      </w:r>
      <w:r w:rsidR="00A67909" w:rsidRPr="00253A5C">
        <w:rPr>
          <w:rFonts w:ascii="Times New Roman" w:eastAsia="等线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67909" w:rsidRPr="00253A5C">
        <w:rPr>
          <w:rFonts w:ascii="Times New Roman" w:eastAsia="等线" w:hAnsi="Times New Roman" w:cs="Times New Roman"/>
          <w:color w:val="000000" w:themeColor="text1"/>
          <w:sz w:val="24"/>
          <w:szCs w:val="24"/>
          <w:shd w:val="clear" w:color="auto" w:fill="FFFFFF"/>
        </w:rPr>
        <w:t>(a)</w:t>
      </w:r>
      <w:r w:rsidR="00A67909" w:rsidRPr="00253A5C">
        <w:rPr>
          <w:rFonts w:ascii="Times New Roman" w:eastAsia="等线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67909" w:rsidRPr="00253A5C">
        <w:rPr>
          <w:rFonts w:ascii="Times New Roman" w:eastAsia="Whitney-Book" w:hAnsi="Times New Roman" w:cs="Times New Roman"/>
          <w:color w:val="000000" w:themeColor="text1"/>
          <w:kern w:val="0"/>
          <w:sz w:val="24"/>
          <w:szCs w:val="24"/>
        </w:rPr>
        <w:t xml:space="preserve">The linear regression between mean annual NEP with </w:t>
      </w:r>
      <m:oMath>
        <m:f>
          <m:fPr>
            <m:ctrlPr>
              <w:rPr>
                <w:rFonts w:ascii="Cambria Math" w:eastAsia="等线" w:hAnsi="Cambria Math" w:cs="Times New Roman"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等线" w:hAnsi="Cambria Math" w:cs="Times New Roman"/>
                <w:color w:val="000000" w:themeColor="text1"/>
                <w:sz w:val="24"/>
                <w:szCs w:val="24"/>
              </w:rPr>
              <m:t>CUP</m:t>
            </m:r>
          </m:num>
          <m:den>
            <m:r>
              <m:rPr>
                <m:sty m:val="p"/>
              </m:rPr>
              <w:rPr>
                <w:rFonts w:ascii="Cambria Math" w:eastAsia="等线" w:hAnsi="Cambria Math" w:cs="Times New Roman"/>
                <w:color w:val="000000" w:themeColor="text1"/>
                <w:sz w:val="24"/>
                <w:szCs w:val="24"/>
              </w:rPr>
              <m:t>CRP</m:t>
            </m:r>
          </m:den>
        </m:f>
      </m:oMath>
      <w:r w:rsidR="00A67909" w:rsidRPr="00253A5C">
        <w:rPr>
          <w:rFonts w:ascii="Times New Roman" w:eastAsia="Whitney-Book" w:hAnsi="Times New Roman" w:cs="Times New Roman"/>
          <w:color w:val="000000" w:themeColor="text1"/>
          <w:kern w:val="0"/>
          <w:sz w:val="24"/>
          <w:szCs w:val="24"/>
        </w:rPr>
        <w:t xml:space="preserve"> (</w:t>
      </w:r>
      <w:r w:rsidR="00A67909" w:rsidRPr="00253A5C">
        <w:rPr>
          <w:rFonts w:ascii="Times New Roman" w:eastAsia="Whitney-Bold" w:hAnsi="Times New Roman" w:cs="Times New Roman"/>
          <w:i/>
          <w:iCs/>
          <w:color w:val="000000" w:themeColor="text1"/>
          <w:kern w:val="0"/>
          <w:sz w:val="24"/>
          <w:szCs w:val="24"/>
        </w:rPr>
        <w:t>R</w:t>
      </w:r>
      <w:r w:rsidR="00A67909" w:rsidRPr="00253A5C">
        <w:rPr>
          <w:rFonts w:ascii="Times New Roman" w:eastAsia="Whitney-Book" w:hAnsi="Times New Roman" w:cs="Times New Roman"/>
          <w:color w:val="000000" w:themeColor="text1"/>
          <w:kern w:val="0"/>
          <w:sz w:val="24"/>
          <w:szCs w:val="24"/>
          <w:vertAlign w:val="superscript"/>
        </w:rPr>
        <w:t>2</w:t>
      </w:r>
      <w:r w:rsidR="00A67909" w:rsidRPr="00253A5C">
        <w:rPr>
          <w:rFonts w:ascii="Times New Roman" w:eastAsia="Whitney-Book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="00A67909" w:rsidRPr="00253A5C">
        <w:rPr>
          <w:rFonts w:ascii="Times New Roman" w:eastAsia="STIXGeneral-Regular" w:hAnsi="Times New Roman" w:cs="Times New Roman"/>
          <w:color w:val="000000" w:themeColor="text1"/>
          <w:kern w:val="0"/>
          <w:sz w:val="24"/>
          <w:szCs w:val="24"/>
        </w:rPr>
        <w:t xml:space="preserve">= </w:t>
      </w:r>
      <w:r w:rsidR="00A67909" w:rsidRPr="00253A5C">
        <w:rPr>
          <w:rFonts w:ascii="Times New Roman" w:eastAsia="Whitney-Book" w:hAnsi="Times New Roman" w:cs="Times New Roman"/>
          <w:color w:val="000000" w:themeColor="text1"/>
          <w:kern w:val="0"/>
          <w:sz w:val="24"/>
          <w:szCs w:val="24"/>
        </w:rPr>
        <w:t xml:space="preserve">0.33, </w:t>
      </w:r>
      <w:r w:rsidR="00A67909" w:rsidRPr="00253A5C">
        <w:rPr>
          <w:rFonts w:ascii="Times New Roman" w:eastAsia="Whitney-Bold" w:hAnsi="Times New Roman" w:cs="Times New Roman"/>
          <w:i/>
          <w:iCs/>
          <w:color w:val="000000" w:themeColor="text1"/>
          <w:kern w:val="0"/>
          <w:sz w:val="24"/>
          <w:szCs w:val="24"/>
        </w:rPr>
        <w:t xml:space="preserve">P </w:t>
      </w:r>
      <w:r w:rsidR="00A67909" w:rsidRPr="00253A5C">
        <w:rPr>
          <w:rFonts w:ascii="Times New Roman" w:eastAsia="STIXGeneral-Regular" w:hAnsi="Times New Roman" w:cs="Times New Roman"/>
          <w:color w:val="000000" w:themeColor="text1"/>
          <w:kern w:val="0"/>
          <w:sz w:val="24"/>
          <w:szCs w:val="24"/>
        </w:rPr>
        <w:t xml:space="preserve">&lt; </w:t>
      </w:r>
      <w:r w:rsidR="00A67909" w:rsidRPr="00253A5C">
        <w:rPr>
          <w:rFonts w:ascii="Times New Roman" w:eastAsia="Whitney-Book" w:hAnsi="Times New Roman" w:cs="Times New Roman"/>
          <w:color w:val="000000" w:themeColor="text1"/>
          <w:kern w:val="0"/>
          <w:sz w:val="24"/>
          <w:szCs w:val="24"/>
        </w:rPr>
        <w:t xml:space="preserve">0.01) and </w:t>
      </w:r>
      <m:oMath>
        <m:f>
          <m:fPr>
            <m:ctrlPr>
              <w:rPr>
                <w:rFonts w:ascii="Cambria Math" w:eastAsia="等线" w:hAnsi="Cambria Math" w:cs="Times New Roman"/>
                <w:color w:val="000000" w:themeColor="text1"/>
                <w:sz w:val="24"/>
                <w:szCs w:val="24"/>
              </w:rPr>
            </m:ctrlPr>
          </m:fPr>
          <m:num>
            <m:acc>
              <m:accPr>
                <m:chr m:val="̅"/>
                <m:ctrlPr>
                  <w:rPr>
                    <w:rFonts w:ascii="Cambria Math" w:eastAsia="等线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="等线" w:hAnsi="Cambria Math" w:cs="Times New Roman"/>
                    <w:color w:val="000000" w:themeColor="text1"/>
                    <w:sz w:val="24"/>
                    <w:szCs w:val="24"/>
                  </w:rPr>
                  <m:t>U</m:t>
                </m:r>
              </m:e>
            </m:acc>
          </m:num>
          <m:den>
            <m:acc>
              <m:accPr>
                <m:chr m:val="̅"/>
                <m:ctrlPr>
                  <w:rPr>
                    <w:rFonts w:ascii="Cambria Math" w:eastAsia="等线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="等线" w:hAnsi="Cambria Math" w:cs="Times New Roman"/>
                    <w:color w:val="000000" w:themeColor="text1"/>
                    <w:sz w:val="24"/>
                    <w:szCs w:val="24"/>
                  </w:rPr>
                  <m:t>R</m:t>
                </m:r>
              </m:e>
            </m:acc>
          </m:den>
        </m:f>
      </m:oMath>
      <w:r w:rsidR="00A67909" w:rsidRPr="00253A5C">
        <w:rPr>
          <w:rFonts w:ascii="Times New Roman" w:eastAsia="Whitney-Book" w:hAnsi="Times New Roman" w:cs="Times New Roman"/>
          <w:color w:val="000000" w:themeColor="text1"/>
          <w:sz w:val="24"/>
          <w:szCs w:val="24"/>
        </w:rPr>
        <w:t xml:space="preserve"> (</w:t>
      </w:r>
      <w:r w:rsidR="00A67909" w:rsidRPr="00253A5C">
        <w:rPr>
          <w:rFonts w:ascii="Times New Roman" w:eastAsia="Whitney-Bold" w:hAnsi="Times New Roman" w:cs="Times New Roman"/>
          <w:i/>
          <w:iCs/>
          <w:color w:val="000000" w:themeColor="text1"/>
          <w:kern w:val="0"/>
          <w:sz w:val="24"/>
          <w:szCs w:val="24"/>
        </w:rPr>
        <w:t>R</w:t>
      </w:r>
      <w:r w:rsidR="00A67909" w:rsidRPr="00253A5C">
        <w:rPr>
          <w:rFonts w:ascii="Times New Roman" w:eastAsia="Whitney-Book" w:hAnsi="Times New Roman" w:cs="Times New Roman"/>
          <w:color w:val="000000" w:themeColor="text1"/>
          <w:kern w:val="0"/>
          <w:sz w:val="24"/>
          <w:szCs w:val="24"/>
          <w:vertAlign w:val="superscript"/>
        </w:rPr>
        <w:t>2</w:t>
      </w:r>
      <w:r w:rsidR="00A67909" w:rsidRPr="00253A5C">
        <w:rPr>
          <w:rFonts w:ascii="Times New Roman" w:eastAsia="Whitney-Book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="00A67909" w:rsidRPr="00253A5C">
        <w:rPr>
          <w:rFonts w:ascii="Times New Roman" w:eastAsia="STIXGeneral-Regular" w:hAnsi="Times New Roman" w:cs="Times New Roman"/>
          <w:color w:val="000000" w:themeColor="text1"/>
          <w:kern w:val="0"/>
          <w:sz w:val="24"/>
          <w:szCs w:val="24"/>
        </w:rPr>
        <w:t xml:space="preserve">= </w:t>
      </w:r>
      <w:r w:rsidR="00A67909" w:rsidRPr="00253A5C">
        <w:rPr>
          <w:rFonts w:ascii="Times New Roman" w:eastAsia="Whitney-Book" w:hAnsi="Times New Roman" w:cs="Times New Roman"/>
          <w:color w:val="000000" w:themeColor="text1"/>
          <w:kern w:val="0"/>
          <w:sz w:val="24"/>
          <w:szCs w:val="24"/>
        </w:rPr>
        <w:t xml:space="preserve">0.25, </w:t>
      </w:r>
      <w:r w:rsidR="00A67909" w:rsidRPr="00253A5C">
        <w:rPr>
          <w:rFonts w:ascii="Times New Roman" w:eastAsia="Whitney-Bold" w:hAnsi="Times New Roman" w:cs="Times New Roman"/>
          <w:i/>
          <w:iCs/>
          <w:color w:val="000000" w:themeColor="text1"/>
          <w:kern w:val="0"/>
          <w:sz w:val="24"/>
          <w:szCs w:val="24"/>
        </w:rPr>
        <w:t xml:space="preserve">P </w:t>
      </w:r>
      <w:r w:rsidR="00A67909" w:rsidRPr="00253A5C">
        <w:rPr>
          <w:rFonts w:ascii="Times New Roman" w:eastAsia="STIXGeneral-Regular" w:hAnsi="Times New Roman" w:cs="Times New Roman"/>
          <w:color w:val="000000" w:themeColor="text1"/>
          <w:kern w:val="0"/>
          <w:sz w:val="24"/>
          <w:szCs w:val="24"/>
        </w:rPr>
        <w:t xml:space="preserve">&lt; </w:t>
      </w:r>
      <w:r w:rsidR="00A67909" w:rsidRPr="00253A5C">
        <w:rPr>
          <w:rFonts w:ascii="Times New Roman" w:eastAsia="Whitney-Book" w:hAnsi="Times New Roman" w:cs="Times New Roman"/>
          <w:color w:val="000000" w:themeColor="text1"/>
          <w:kern w:val="0"/>
          <w:sz w:val="24"/>
          <w:szCs w:val="24"/>
        </w:rPr>
        <w:t>0.01</w:t>
      </w:r>
      <w:r w:rsidR="00A67909" w:rsidRPr="00253A5C">
        <w:rPr>
          <w:rFonts w:ascii="Times New Roman" w:eastAsia="Whitney-Book" w:hAnsi="Times New Roman" w:cs="Times New Roman"/>
          <w:color w:val="000000" w:themeColor="text1"/>
          <w:sz w:val="24"/>
          <w:szCs w:val="24"/>
        </w:rPr>
        <w:t>) across sites</w:t>
      </w:r>
      <w:r w:rsidR="00A67909" w:rsidRPr="00253A5C">
        <w:rPr>
          <w:rFonts w:ascii="Times New Roman" w:eastAsia="Whitney-Book" w:hAnsi="Times New Roman" w:cs="Times New Roman"/>
          <w:color w:val="000000" w:themeColor="text1"/>
          <w:kern w:val="0"/>
          <w:sz w:val="24"/>
          <w:szCs w:val="24"/>
        </w:rPr>
        <w:t xml:space="preserve">. </w:t>
      </w:r>
      <w:r w:rsidR="00A67909" w:rsidRPr="00253A5C">
        <w:rPr>
          <w:rFonts w:ascii="Times New Roman" w:eastAsia="Whitney-Book" w:hAnsi="Times New Roman" w:cs="Times New Roman"/>
          <w:color w:val="000000" w:themeColor="text1"/>
          <w:kern w:val="0"/>
          <w:sz w:val="24"/>
          <w:szCs w:val="24"/>
        </w:rPr>
        <w:t>(b)</w:t>
      </w:r>
      <w:r w:rsidR="00A67909" w:rsidRPr="00253A5C">
        <w:rPr>
          <w:rFonts w:ascii="Times New Roman" w:eastAsia="Whitney-Book" w:hAnsi="Times New Roman" w:cs="Times New Roman"/>
          <w:color w:val="000000" w:themeColor="text1"/>
          <w:kern w:val="0"/>
          <w:sz w:val="24"/>
          <w:szCs w:val="24"/>
        </w:rPr>
        <w:t xml:space="preserve"> The relative contributions of each indicator to </w:t>
      </w:r>
      <w:r w:rsidR="00A67909" w:rsidRPr="00253A5C">
        <w:rPr>
          <w:rFonts w:ascii="Times New Roman" w:eastAsia="Whitney-Book" w:hAnsi="Times New Roman" w:cs="Times New Roman"/>
          <w:color w:val="000000" w:themeColor="text1"/>
          <w:sz w:val="24"/>
          <w:szCs w:val="24"/>
        </w:rPr>
        <w:t xml:space="preserve">the </w:t>
      </w:r>
      <w:r w:rsidR="00A67909" w:rsidRPr="00253A5C">
        <w:rPr>
          <w:rFonts w:ascii="Times New Roman" w:eastAsia="Whitney-Book" w:hAnsi="Times New Roman" w:cs="Times New Roman"/>
          <w:color w:val="000000" w:themeColor="text1"/>
          <w:kern w:val="0"/>
          <w:sz w:val="24"/>
          <w:szCs w:val="24"/>
        </w:rPr>
        <w:t xml:space="preserve">spatial variation </w:t>
      </w:r>
      <w:r w:rsidR="005C300A" w:rsidRPr="00253A5C">
        <w:rPr>
          <w:rFonts w:ascii="Times New Roman" w:eastAsia="Whitney-Book" w:hAnsi="Times New Roman" w:cs="Times New Roman"/>
          <w:color w:val="000000" w:themeColor="text1"/>
          <w:kern w:val="0"/>
          <w:sz w:val="24"/>
          <w:szCs w:val="24"/>
        </w:rPr>
        <w:t>in</w:t>
      </w:r>
      <w:r w:rsidR="00A67909" w:rsidRPr="00253A5C">
        <w:rPr>
          <w:rFonts w:ascii="Times New Roman" w:eastAsia="Whitney-Book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="005C300A" w:rsidRPr="00253A5C">
        <w:rPr>
          <w:rFonts w:ascii="Times New Roman" w:eastAsia="Whitney-Book" w:hAnsi="Times New Roman" w:cs="Times New Roman"/>
          <w:color w:val="000000" w:themeColor="text1"/>
          <w:kern w:val="0"/>
          <w:sz w:val="24"/>
          <w:szCs w:val="24"/>
        </w:rPr>
        <w:t>mean annual</w:t>
      </w:r>
      <w:r w:rsidR="005C300A" w:rsidRPr="00253A5C">
        <w:rPr>
          <w:rFonts w:ascii="Times New Roman" w:eastAsia="Whitney-Book" w:hAnsi="Times New Roman" w:cs="Times New Roman"/>
          <w:color w:val="000000" w:themeColor="text1"/>
          <w:sz w:val="24"/>
          <w:szCs w:val="24"/>
        </w:rPr>
        <w:t xml:space="preserve"> </w:t>
      </w:r>
      <w:r w:rsidR="00A67909" w:rsidRPr="00253A5C">
        <w:rPr>
          <w:rFonts w:ascii="Times New Roman" w:eastAsia="Whitney-Book" w:hAnsi="Times New Roman" w:cs="Times New Roman"/>
          <w:color w:val="000000" w:themeColor="text1"/>
          <w:sz w:val="24"/>
          <w:szCs w:val="24"/>
        </w:rPr>
        <w:t xml:space="preserve">NEP. </w:t>
      </w:r>
      <w:r w:rsidR="00A67909" w:rsidRPr="00253A5C">
        <w:rPr>
          <w:rFonts w:ascii="Times New Roman" w:eastAsia="Whitney-Book" w:hAnsi="Times New Roman" w:cs="Times New Roman"/>
          <w:color w:val="000000" w:themeColor="text1"/>
          <w:kern w:val="0"/>
          <w:sz w:val="24"/>
          <w:szCs w:val="24"/>
        </w:rPr>
        <w:t>The number of years at each site is indicated with the size of the point.</w:t>
      </w:r>
      <w:bookmarkEnd w:id="0"/>
      <w:bookmarkEnd w:id="1"/>
      <w:r w:rsidR="00F930DE" w:rsidRPr="00253A5C">
        <w:rPr>
          <w:rFonts w:ascii="Times New Roman" w:hAnsi="Times New Roman" w:cs="Times New Roman"/>
          <w:sz w:val="24"/>
          <w:szCs w:val="24"/>
        </w:rPr>
        <w:t>”.</w:t>
      </w:r>
    </w:p>
    <w:p w14:paraId="22EA4917" w14:textId="5E086ABC" w:rsidR="00660464" w:rsidRPr="00253A5C" w:rsidRDefault="00660464" w:rsidP="00253A5C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253A5C">
        <w:rPr>
          <w:rFonts w:ascii="Times New Roman" w:hAnsi="Times New Roman" w:cs="Times New Roman"/>
          <w:color w:val="0000FF"/>
          <w:sz w:val="24"/>
          <w:szCs w:val="24"/>
        </w:rPr>
        <w:t>TS2:</w:t>
      </w:r>
      <w:r w:rsidR="00CD331B" w:rsidRPr="00253A5C">
        <w:rPr>
          <w:rFonts w:ascii="Times New Roman" w:hAnsi="Times New Roman" w:cs="Times New Roman"/>
          <w:sz w:val="24"/>
          <w:szCs w:val="24"/>
        </w:rPr>
        <w:t xml:space="preserve"> </w:t>
      </w:r>
      <w:r w:rsidR="00DC1C12" w:rsidRPr="00253A5C">
        <w:rPr>
          <w:rFonts w:ascii="Times New Roman" w:hAnsi="Times New Roman" w:cs="Times New Roman"/>
          <w:sz w:val="24"/>
          <w:szCs w:val="24"/>
        </w:rPr>
        <w:t>Data availability</w:t>
      </w:r>
      <w:r w:rsidR="00DC1C12" w:rsidRPr="00253A5C">
        <w:rPr>
          <w:rFonts w:ascii="Times New Roman" w:hAnsi="Times New Roman" w:cs="Times New Roman"/>
          <w:sz w:val="24"/>
          <w:szCs w:val="24"/>
        </w:rPr>
        <w:t xml:space="preserve"> for the </w:t>
      </w:r>
      <w:r w:rsidR="00DC1C12" w:rsidRPr="00253A5C">
        <w:rPr>
          <w:rFonts w:ascii="Times New Roman" w:hAnsi="Times New Roman" w:cs="Times New Roman"/>
          <w:sz w:val="24"/>
          <w:szCs w:val="24"/>
        </w:rPr>
        <w:t>eddy-covariance sites</w:t>
      </w:r>
      <w:r w:rsidR="00DC1C12" w:rsidRPr="00253A5C">
        <w:rPr>
          <w:rFonts w:ascii="Times New Roman" w:hAnsi="Times New Roman" w:cs="Times New Roman"/>
          <w:sz w:val="24"/>
          <w:szCs w:val="24"/>
        </w:rPr>
        <w:t xml:space="preserve"> should be corrected to “</w:t>
      </w:r>
      <w:r w:rsidR="00CD331B" w:rsidRPr="00253A5C">
        <w:rPr>
          <w:rFonts w:ascii="Times New Roman" w:hAnsi="Times New Roman" w:cs="Times New Roman"/>
          <w:sz w:val="24"/>
          <w:szCs w:val="24"/>
        </w:rPr>
        <w:t xml:space="preserve">The FLUXNET2015 dataset is available </w:t>
      </w:r>
      <w:r w:rsidR="00183E4B" w:rsidRPr="00253A5C">
        <w:rPr>
          <w:rFonts w:ascii="Times New Roman" w:hAnsi="Times New Roman" w:cs="Times New Roman"/>
          <w:sz w:val="24"/>
          <w:szCs w:val="24"/>
        </w:rPr>
        <w:t>online at https://fluxnet.fluxdata.org/data/fluxnet2015-dataset/</w:t>
      </w:r>
      <w:r w:rsidR="00CD331B" w:rsidRPr="00253A5C">
        <w:rPr>
          <w:rFonts w:ascii="Times New Roman" w:hAnsi="Times New Roman" w:cs="Times New Roman"/>
          <w:sz w:val="24"/>
          <w:szCs w:val="24"/>
        </w:rPr>
        <w:t xml:space="preserve"> (</w:t>
      </w:r>
      <w:r w:rsidR="00804778" w:rsidRPr="00253A5C">
        <w:rPr>
          <w:rFonts w:ascii="Times New Roman" w:hAnsi="Times New Roman" w:cs="Times New Roman"/>
          <w:sz w:val="24"/>
          <w:szCs w:val="24"/>
        </w:rPr>
        <w:t>last access: February 2019</w:t>
      </w:r>
      <w:r w:rsidR="00804778" w:rsidRPr="00253A5C">
        <w:rPr>
          <w:rFonts w:ascii="Times New Roman" w:hAnsi="Times New Roman" w:cs="Times New Roman"/>
          <w:sz w:val="24"/>
          <w:szCs w:val="24"/>
        </w:rPr>
        <w:t xml:space="preserve">, </w:t>
      </w:r>
      <w:r w:rsidR="00CD331B" w:rsidRPr="00253A5C">
        <w:rPr>
          <w:rFonts w:ascii="Times New Roman" w:hAnsi="Times New Roman" w:cs="Times New Roman"/>
          <w:sz w:val="24"/>
          <w:szCs w:val="24"/>
        </w:rPr>
        <w:t>Lawrence Berkeley National Laboratory)</w:t>
      </w:r>
      <w:r w:rsidR="00DC1C12" w:rsidRPr="00253A5C">
        <w:rPr>
          <w:rFonts w:ascii="Times New Roman" w:hAnsi="Times New Roman" w:cs="Times New Roman"/>
          <w:sz w:val="24"/>
          <w:szCs w:val="24"/>
        </w:rPr>
        <w:t>”</w:t>
      </w:r>
      <w:r w:rsidR="00CD331B" w:rsidRPr="00253A5C">
        <w:rPr>
          <w:rFonts w:ascii="Times New Roman" w:hAnsi="Times New Roman" w:cs="Times New Roman"/>
          <w:sz w:val="24"/>
          <w:szCs w:val="24"/>
        </w:rPr>
        <w:t>.</w:t>
      </w:r>
    </w:p>
    <w:sectPr w:rsidR="00660464" w:rsidRPr="00253A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hitney-Book">
    <w:altName w:val="微软雅黑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hitney-Bold">
    <w:altName w:val="微软雅黑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STIXGeneral-Regular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B1B"/>
    <w:rsid w:val="00097EE8"/>
    <w:rsid w:val="00132F84"/>
    <w:rsid w:val="00183E4B"/>
    <w:rsid w:val="001C5B1B"/>
    <w:rsid w:val="00253A5C"/>
    <w:rsid w:val="00301844"/>
    <w:rsid w:val="004960F1"/>
    <w:rsid w:val="00512F4D"/>
    <w:rsid w:val="005179A0"/>
    <w:rsid w:val="005C300A"/>
    <w:rsid w:val="00660464"/>
    <w:rsid w:val="006D1E9E"/>
    <w:rsid w:val="00804778"/>
    <w:rsid w:val="00865153"/>
    <w:rsid w:val="009C6330"/>
    <w:rsid w:val="00A67909"/>
    <w:rsid w:val="00AF0267"/>
    <w:rsid w:val="00B36E68"/>
    <w:rsid w:val="00B44F36"/>
    <w:rsid w:val="00C51264"/>
    <w:rsid w:val="00C737EA"/>
    <w:rsid w:val="00CA6687"/>
    <w:rsid w:val="00CD331B"/>
    <w:rsid w:val="00D962D4"/>
    <w:rsid w:val="00DC1C12"/>
    <w:rsid w:val="00E0770D"/>
    <w:rsid w:val="00E82B80"/>
    <w:rsid w:val="00F9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A2E11"/>
  <w15:chartTrackingRefBased/>
  <w15:docId w15:val="{CC00F312-D1D4-4653-89CA-7D89B6043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10145</dc:creator>
  <cp:keywords/>
  <dc:description/>
  <cp:lastModifiedBy> </cp:lastModifiedBy>
  <cp:revision>35</cp:revision>
  <cp:lastPrinted>2020-11-28T04:59:00Z</cp:lastPrinted>
  <dcterms:created xsi:type="dcterms:W3CDTF">2020-11-28T00:21:00Z</dcterms:created>
  <dcterms:modified xsi:type="dcterms:W3CDTF">2020-11-28T05:08:00Z</dcterms:modified>
</cp:coreProperties>
</file>