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AD5E5" w14:textId="03F209BC" w:rsidR="00251BCC" w:rsidRPr="00251BCC" w:rsidRDefault="00251BCC" w:rsidP="00251BCC">
      <w:pPr>
        <w:spacing w:line="240" w:lineRule="auto"/>
        <w:rPr>
          <w:rFonts w:ascii="Times New Roman" w:hAnsi="Times New Roman" w:cs="Times New Roman"/>
          <w:bCs/>
        </w:rPr>
      </w:pPr>
    </w:p>
    <w:tbl>
      <w:tblPr>
        <w:tblStyle w:val="TableGrid"/>
        <w:tblW w:w="0" w:type="auto"/>
        <w:jc w:val="center"/>
        <w:tblLook w:val="04A0" w:firstRow="1" w:lastRow="0" w:firstColumn="1" w:lastColumn="0" w:noHBand="0" w:noVBand="1"/>
      </w:tblPr>
      <w:tblGrid>
        <w:gridCol w:w="1335"/>
        <w:gridCol w:w="1335"/>
        <w:gridCol w:w="1336"/>
        <w:gridCol w:w="1336"/>
        <w:gridCol w:w="1336"/>
        <w:gridCol w:w="1336"/>
        <w:gridCol w:w="1336"/>
      </w:tblGrid>
      <w:tr w:rsidR="00251BCC" w:rsidRPr="00251BCC" w14:paraId="67A9C834" w14:textId="77777777" w:rsidTr="006F6E67">
        <w:trPr>
          <w:jc w:val="center"/>
        </w:trPr>
        <w:tc>
          <w:tcPr>
            <w:tcW w:w="1335" w:type="dxa"/>
          </w:tcPr>
          <w:p w14:paraId="2D2C7C99" w14:textId="77777777" w:rsidR="00251BCC" w:rsidRPr="00251BCC" w:rsidRDefault="00251BCC" w:rsidP="006F6E67">
            <w:pPr>
              <w:jc w:val="center"/>
              <w:rPr>
                <w:rFonts w:ascii="Times New Roman" w:hAnsi="Times New Roman"/>
                <w:bCs/>
                <w:sz w:val="18"/>
                <w:lang w:val="en-US"/>
              </w:rPr>
            </w:pPr>
          </w:p>
        </w:tc>
        <w:tc>
          <w:tcPr>
            <w:tcW w:w="1335" w:type="dxa"/>
          </w:tcPr>
          <w:p w14:paraId="1EB4C90C" w14:textId="77777777" w:rsidR="00251BCC" w:rsidRPr="00251BCC" w:rsidRDefault="00251BCC" w:rsidP="006F6E67">
            <w:pPr>
              <w:jc w:val="center"/>
              <w:rPr>
                <w:rFonts w:ascii="Times New Roman" w:hAnsi="Times New Roman"/>
                <w:b/>
                <w:bCs/>
                <w:sz w:val="18"/>
                <w:lang w:val="en-US"/>
              </w:rPr>
            </w:pPr>
            <w:r w:rsidRPr="00251BCC">
              <w:rPr>
                <w:rFonts w:ascii="Times New Roman" w:hAnsi="Times New Roman"/>
                <w:b/>
                <w:bCs/>
                <w:sz w:val="18"/>
                <w:lang w:val="en-US"/>
              </w:rPr>
              <w:t>Fe (</w:t>
            </w:r>
            <w:proofErr w:type="spellStart"/>
            <w:r w:rsidRPr="00251BCC">
              <w:rPr>
                <w:rFonts w:ascii="Times New Roman" w:hAnsi="Times New Roman"/>
                <w:b/>
                <w:bCs/>
                <w:sz w:val="18"/>
                <w:lang w:val="en-US"/>
              </w:rPr>
              <w:t>nM</w:t>
            </w:r>
            <w:proofErr w:type="spellEnd"/>
            <w:r w:rsidRPr="00251BCC">
              <w:rPr>
                <w:rFonts w:ascii="Times New Roman" w:hAnsi="Times New Roman"/>
                <w:b/>
                <w:bCs/>
                <w:sz w:val="18"/>
                <w:lang w:val="en-US"/>
              </w:rPr>
              <w:t>)</w:t>
            </w:r>
          </w:p>
        </w:tc>
        <w:tc>
          <w:tcPr>
            <w:tcW w:w="1336" w:type="dxa"/>
          </w:tcPr>
          <w:p w14:paraId="189189D2" w14:textId="77777777" w:rsidR="00251BCC" w:rsidRPr="00251BCC" w:rsidRDefault="00251BCC" w:rsidP="006F6E67">
            <w:pPr>
              <w:jc w:val="center"/>
              <w:rPr>
                <w:rFonts w:ascii="Times New Roman" w:hAnsi="Times New Roman"/>
                <w:b/>
                <w:bCs/>
                <w:sz w:val="18"/>
                <w:lang w:val="en-US"/>
              </w:rPr>
            </w:pPr>
            <w:proofErr w:type="spellStart"/>
            <w:r w:rsidRPr="00251BCC">
              <w:rPr>
                <w:rFonts w:ascii="Times New Roman" w:hAnsi="Times New Roman"/>
                <w:b/>
                <w:bCs/>
                <w:sz w:val="18"/>
                <w:lang w:val="en-US"/>
              </w:rPr>
              <w:t>Mn</w:t>
            </w:r>
            <w:proofErr w:type="spellEnd"/>
            <w:r w:rsidRPr="00251BCC">
              <w:rPr>
                <w:rFonts w:ascii="Times New Roman" w:hAnsi="Times New Roman"/>
                <w:b/>
                <w:bCs/>
                <w:sz w:val="18"/>
                <w:lang w:val="en-US"/>
              </w:rPr>
              <w:t xml:space="preserve"> (</w:t>
            </w:r>
            <w:proofErr w:type="spellStart"/>
            <w:r w:rsidRPr="00251BCC">
              <w:rPr>
                <w:rFonts w:ascii="Times New Roman" w:hAnsi="Times New Roman"/>
                <w:b/>
                <w:bCs/>
                <w:sz w:val="18"/>
                <w:lang w:val="en-US"/>
              </w:rPr>
              <w:t>nM</w:t>
            </w:r>
            <w:proofErr w:type="spellEnd"/>
            <w:r w:rsidRPr="00251BCC">
              <w:rPr>
                <w:rFonts w:ascii="Times New Roman" w:hAnsi="Times New Roman"/>
                <w:b/>
                <w:bCs/>
                <w:sz w:val="18"/>
                <w:lang w:val="en-US"/>
              </w:rPr>
              <w:t>)</w:t>
            </w:r>
          </w:p>
        </w:tc>
        <w:tc>
          <w:tcPr>
            <w:tcW w:w="1336" w:type="dxa"/>
          </w:tcPr>
          <w:p w14:paraId="2260FED1" w14:textId="77777777" w:rsidR="00251BCC" w:rsidRPr="00251BCC" w:rsidRDefault="00251BCC" w:rsidP="006F6E67">
            <w:pPr>
              <w:jc w:val="center"/>
              <w:rPr>
                <w:rFonts w:ascii="Times New Roman" w:hAnsi="Times New Roman"/>
                <w:b/>
                <w:bCs/>
                <w:sz w:val="18"/>
                <w:lang w:val="en-US"/>
              </w:rPr>
            </w:pPr>
            <w:r w:rsidRPr="00251BCC">
              <w:rPr>
                <w:rFonts w:ascii="Times New Roman" w:hAnsi="Times New Roman"/>
                <w:b/>
                <w:bCs/>
                <w:sz w:val="18"/>
                <w:lang w:val="en-US"/>
              </w:rPr>
              <w:t>*Zn (</w:t>
            </w:r>
            <w:proofErr w:type="spellStart"/>
            <w:r w:rsidRPr="00251BCC">
              <w:rPr>
                <w:rFonts w:ascii="Times New Roman" w:hAnsi="Times New Roman"/>
                <w:b/>
                <w:bCs/>
                <w:sz w:val="18"/>
                <w:lang w:val="en-US"/>
              </w:rPr>
              <w:t>nM</w:t>
            </w:r>
            <w:proofErr w:type="spellEnd"/>
            <w:r w:rsidRPr="00251BCC">
              <w:rPr>
                <w:rFonts w:ascii="Times New Roman" w:hAnsi="Times New Roman"/>
                <w:b/>
                <w:bCs/>
                <w:sz w:val="18"/>
                <w:lang w:val="en-US"/>
              </w:rPr>
              <w:t>)</w:t>
            </w:r>
          </w:p>
        </w:tc>
        <w:tc>
          <w:tcPr>
            <w:tcW w:w="1336" w:type="dxa"/>
          </w:tcPr>
          <w:p w14:paraId="7E1C589F" w14:textId="77777777" w:rsidR="00251BCC" w:rsidRPr="00251BCC" w:rsidRDefault="00251BCC" w:rsidP="006F6E67">
            <w:pPr>
              <w:jc w:val="center"/>
              <w:rPr>
                <w:rFonts w:ascii="Times New Roman" w:hAnsi="Times New Roman"/>
                <w:b/>
                <w:bCs/>
                <w:sz w:val="18"/>
                <w:lang w:val="en-US"/>
              </w:rPr>
            </w:pPr>
            <w:r w:rsidRPr="00251BCC">
              <w:rPr>
                <w:rFonts w:ascii="Times New Roman" w:hAnsi="Times New Roman"/>
                <w:b/>
                <w:bCs/>
                <w:sz w:val="18"/>
                <w:lang w:val="en-US"/>
              </w:rPr>
              <w:t>Cu (</w:t>
            </w:r>
            <w:proofErr w:type="spellStart"/>
            <w:r w:rsidRPr="00251BCC">
              <w:rPr>
                <w:rFonts w:ascii="Times New Roman" w:hAnsi="Times New Roman"/>
                <w:b/>
                <w:bCs/>
                <w:sz w:val="18"/>
                <w:lang w:val="en-US"/>
              </w:rPr>
              <w:t>nM</w:t>
            </w:r>
            <w:proofErr w:type="spellEnd"/>
            <w:r w:rsidRPr="00251BCC">
              <w:rPr>
                <w:rFonts w:ascii="Times New Roman" w:hAnsi="Times New Roman"/>
                <w:b/>
                <w:bCs/>
                <w:sz w:val="18"/>
                <w:lang w:val="en-US"/>
              </w:rPr>
              <w:t>)</w:t>
            </w:r>
          </w:p>
        </w:tc>
        <w:tc>
          <w:tcPr>
            <w:tcW w:w="1336" w:type="dxa"/>
          </w:tcPr>
          <w:p w14:paraId="2080D944" w14:textId="77777777" w:rsidR="00251BCC" w:rsidRPr="00251BCC" w:rsidRDefault="00251BCC" w:rsidP="006F6E67">
            <w:pPr>
              <w:jc w:val="center"/>
              <w:rPr>
                <w:rFonts w:ascii="Times New Roman" w:hAnsi="Times New Roman"/>
                <w:b/>
                <w:bCs/>
                <w:sz w:val="18"/>
                <w:lang w:val="en-US"/>
              </w:rPr>
            </w:pPr>
            <w:r w:rsidRPr="00251BCC">
              <w:rPr>
                <w:rFonts w:ascii="Times New Roman" w:hAnsi="Times New Roman"/>
                <w:b/>
                <w:bCs/>
                <w:sz w:val="18"/>
                <w:lang w:val="en-US"/>
              </w:rPr>
              <w:t>Ni (</w:t>
            </w:r>
            <w:proofErr w:type="spellStart"/>
            <w:r w:rsidRPr="00251BCC">
              <w:rPr>
                <w:rFonts w:ascii="Times New Roman" w:hAnsi="Times New Roman"/>
                <w:b/>
                <w:bCs/>
                <w:sz w:val="18"/>
                <w:lang w:val="en-US"/>
              </w:rPr>
              <w:t>nM</w:t>
            </w:r>
            <w:proofErr w:type="spellEnd"/>
            <w:r w:rsidRPr="00251BCC">
              <w:rPr>
                <w:rFonts w:ascii="Times New Roman" w:hAnsi="Times New Roman"/>
                <w:b/>
                <w:bCs/>
                <w:sz w:val="18"/>
                <w:lang w:val="en-US"/>
              </w:rPr>
              <w:t>)</w:t>
            </w:r>
          </w:p>
        </w:tc>
        <w:tc>
          <w:tcPr>
            <w:tcW w:w="1336" w:type="dxa"/>
          </w:tcPr>
          <w:p w14:paraId="0A1BCD90" w14:textId="77777777" w:rsidR="00251BCC" w:rsidRPr="00251BCC" w:rsidRDefault="00251BCC" w:rsidP="006F6E67">
            <w:pPr>
              <w:jc w:val="center"/>
              <w:rPr>
                <w:rFonts w:ascii="Times New Roman" w:hAnsi="Times New Roman"/>
                <w:b/>
                <w:bCs/>
                <w:sz w:val="18"/>
                <w:lang w:val="en-US"/>
              </w:rPr>
            </w:pPr>
            <w:r w:rsidRPr="00251BCC">
              <w:rPr>
                <w:rFonts w:ascii="Times New Roman" w:hAnsi="Times New Roman"/>
                <w:b/>
                <w:bCs/>
                <w:sz w:val="18"/>
                <w:lang w:val="en-US"/>
              </w:rPr>
              <w:t>Cd (</w:t>
            </w:r>
            <w:proofErr w:type="spellStart"/>
            <w:r w:rsidRPr="00251BCC">
              <w:rPr>
                <w:rFonts w:ascii="Times New Roman" w:hAnsi="Times New Roman"/>
                <w:b/>
                <w:bCs/>
                <w:sz w:val="18"/>
                <w:lang w:val="en-US"/>
              </w:rPr>
              <w:t>nM</w:t>
            </w:r>
            <w:proofErr w:type="spellEnd"/>
            <w:r w:rsidRPr="00251BCC">
              <w:rPr>
                <w:rFonts w:ascii="Times New Roman" w:hAnsi="Times New Roman"/>
                <w:b/>
                <w:bCs/>
                <w:sz w:val="18"/>
                <w:lang w:val="en-US"/>
              </w:rPr>
              <w:t>)</w:t>
            </w:r>
          </w:p>
        </w:tc>
      </w:tr>
      <w:tr w:rsidR="00251BCC" w:rsidRPr="00251BCC" w14:paraId="493F28D1" w14:textId="77777777" w:rsidTr="006F6E67">
        <w:trPr>
          <w:jc w:val="center"/>
        </w:trPr>
        <w:tc>
          <w:tcPr>
            <w:tcW w:w="1335" w:type="dxa"/>
          </w:tcPr>
          <w:p w14:paraId="77726A40" w14:textId="77777777" w:rsidR="00251BCC" w:rsidRPr="00251BCC" w:rsidRDefault="00251BCC" w:rsidP="006F6E67">
            <w:pPr>
              <w:jc w:val="center"/>
              <w:rPr>
                <w:rFonts w:ascii="Times New Roman" w:hAnsi="Times New Roman"/>
                <w:b/>
                <w:bCs/>
                <w:sz w:val="18"/>
                <w:lang w:val="en-US"/>
              </w:rPr>
            </w:pPr>
            <w:r w:rsidRPr="00251BCC">
              <w:rPr>
                <w:rFonts w:ascii="Times New Roman" w:hAnsi="Times New Roman"/>
                <w:b/>
                <w:bCs/>
                <w:sz w:val="18"/>
                <w:lang w:val="en-US"/>
              </w:rPr>
              <w:t>LOD (n=12)</w:t>
            </w:r>
          </w:p>
        </w:tc>
        <w:tc>
          <w:tcPr>
            <w:tcW w:w="1335" w:type="dxa"/>
          </w:tcPr>
          <w:p w14:paraId="7B6300A6"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0.10 ± 0.11</w:t>
            </w:r>
          </w:p>
        </w:tc>
        <w:tc>
          <w:tcPr>
            <w:tcW w:w="1336" w:type="dxa"/>
          </w:tcPr>
          <w:p w14:paraId="201CD39F"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0.006 ± 0.007</w:t>
            </w:r>
          </w:p>
        </w:tc>
        <w:tc>
          <w:tcPr>
            <w:tcW w:w="1336" w:type="dxa"/>
          </w:tcPr>
          <w:p w14:paraId="0CEF4339"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0.65 ± 0.39</w:t>
            </w:r>
          </w:p>
        </w:tc>
        <w:tc>
          <w:tcPr>
            <w:tcW w:w="1336" w:type="dxa"/>
          </w:tcPr>
          <w:p w14:paraId="51F2879F"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0.11 ± 0.23</w:t>
            </w:r>
          </w:p>
        </w:tc>
        <w:tc>
          <w:tcPr>
            <w:tcW w:w="1336" w:type="dxa"/>
          </w:tcPr>
          <w:p w14:paraId="6049B527"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0.04 ± 0.02</w:t>
            </w:r>
          </w:p>
        </w:tc>
        <w:tc>
          <w:tcPr>
            <w:tcW w:w="1336" w:type="dxa"/>
          </w:tcPr>
          <w:p w14:paraId="06B78392"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0.0008 ± 0.0005</w:t>
            </w:r>
          </w:p>
        </w:tc>
      </w:tr>
      <w:tr w:rsidR="00251BCC" w:rsidRPr="00251BCC" w14:paraId="436F3D4F" w14:textId="77777777" w:rsidTr="006F6E67">
        <w:trPr>
          <w:jc w:val="center"/>
        </w:trPr>
        <w:tc>
          <w:tcPr>
            <w:tcW w:w="1335" w:type="dxa"/>
          </w:tcPr>
          <w:p w14:paraId="170DBD49" w14:textId="77777777" w:rsidR="00251BCC" w:rsidRPr="00251BCC" w:rsidRDefault="00251BCC" w:rsidP="006F6E67">
            <w:pPr>
              <w:jc w:val="center"/>
              <w:rPr>
                <w:rFonts w:ascii="Times New Roman" w:hAnsi="Times New Roman"/>
                <w:b/>
                <w:bCs/>
                <w:sz w:val="18"/>
                <w:lang w:val="en-US"/>
              </w:rPr>
            </w:pPr>
            <w:r w:rsidRPr="00251BCC">
              <w:rPr>
                <w:rFonts w:ascii="Times New Roman" w:hAnsi="Times New Roman"/>
                <w:b/>
                <w:bCs/>
                <w:sz w:val="18"/>
                <w:lang w:val="en-US"/>
              </w:rPr>
              <w:t>MQ Blank</w:t>
            </w:r>
          </w:p>
          <w:p w14:paraId="05234774" w14:textId="77777777" w:rsidR="00251BCC" w:rsidRPr="00251BCC" w:rsidRDefault="00251BCC" w:rsidP="006F6E67">
            <w:pPr>
              <w:jc w:val="center"/>
              <w:rPr>
                <w:rFonts w:ascii="Times New Roman" w:hAnsi="Times New Roman"/>
                <w:b/>
                <w:bCs/>
                <w:sz w:val="18"/>
                <w:lang w:val="en-US"/>
              </w:rPr>
            </w:pPr>
            <w:r w:rsidRPr="00251BCC">
              <w:rPr>
                <w:rFonts w:ascii="Times New Roman" w:hAnsi="Times New Roman"/>
                <w:b/>
                <w:bCs/>
                <w:sz w:val="18"/>
                <w:lang w:val="en-US"/>
              </w:rPr>
              <w:t>(n=18)</w:t>
            </w:r>
          </w:p>
        </w:tc>
        <w:tc>
          <w:tcPr>
            <w:tcW w:w="1335" w:type="dxa"/>
          </w:tcPr>
          <w:p w14:paraId="3578EDE1"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0.14 ± 0.10</w:t>
            </w:r>
          </w:p>
        </w:tc>
        <w:tc>
          <w:tcPr>
            <w:tcW w:w="1336" w:type="dxa"/>
          </w:tcPr>
          <w:p w14:paraId="7B4AA82D"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0.006 ± 0.005</w:t>
            </w:r>
          </w:p>
        </w:tc>
        <w:tc>
          <w:tcPr>
            <w:tcW w:w="1336" w:type="dxa"/>
          </w:tcPr>
          <w:p w14:paraId="7A22C593"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0.47 ± 0.22</w:t>
            </w:r>
          </w:p>
        </w:tc>
        <w:tc>
          <w:tcPr>
            <w:tcW w:w="1336" w:type="dxa"/>
          </w:tcPr>
          <w:p w14:paraId="230282BA"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0.06 ± 0.08</w:t>
            </w:r>
          </w:p>
        </w:tc>
        <w:tc>
          <w:tcPr>
            <w:tcW w:w="1336" w:type="dxa"/>
          </w:tcPr>
          <w:p w14:paraId="325DE9D2"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0.04 ± 0.03</w:t>
            </w:r>
          </w:p>
        </w:tc>
        <w:tc>
          <w:tcPr>
            <w:tcW w:w="1336" w:type="dxa"/>
          </w:tcPr>
          <w:p w14:paraId="57DFE55E" w14:textId="77777777" w:rsidR="00251BCC" w:rsidRPr="00251BCC" w:rsidRDefault="00251BCC" w:rsidP="006F6E67">
            <w:pPr>
              <w:jc w:val="center"/>
              <w:rPr>
                <w:rFonts w:ascii="Times New Roman" w:hAnsi="Times New Roman"/>
                <w:bCs/>
                <w:sz w:val="18"/>
                <w:lang w:val="en-US"/>
              </w:rPr>
            </w:pPr>
            <w:r w:rsidRPr="00251BCC">
              <w:rPr>
                <w:rFonts w:ascii="Times New Roman" w:hAnsi="Times New Roman"/>
                <w:bCs/>
                <w:sz w:val="18"/>
                <w:lang w:val="en-US"/>
              </w:rPr>
              <w:t>0.0006 ± 0.0003</w:t>
            </w:r>
          </w:p>
        </w:tc>
      </w:tr>
    </w:tbl>
    <w:p w14:paraId="52641AFD" w14:textId="3EA71347" w:rsidR="00971432" w:rsidRDefault="00971432">
      <w:pPr>
        <w:rPr>
          <w:rFonts w:ascii="Times New Roman" w:hAnsi="Times New Roman" w:cs="Times New Roman"/>
          <w:sz w:val="24"/>
          <w:szCs w:val="24"/>
        </w:rPr>
      </w:pPr>
    </w:p>
    <w:p w14:paraId="2A9B650C" w14:textId="088F8B57" w:rsidR="00162743" w:rsidRDefault="00251BCC">
      <w:pPr>
        <w:pBdr>
          <w:bottom w:val="single" w:sz="12" w:space="1" w:color="auto"/>
        </w:pBdr>
        <w:rPr>
          <w:rFonts w:ascii="Times New Roman" w:hAnsi="Times New Roman" w:cs="Times New Roman"/>
          <w:bCs/>
        </w:rPr>
      </w:pPr>
      <w:r w:rsidRPr="00251BCC">
        <w:rPr>
          <w:rFonts w:ascii="Times New Roman" w:hAnsi="Times New Roman" w:cs="Times New Roman"/>
          <w:b/>
          <w:bCs/>
        </w:rPr>
        <w:t>Table 2</w:t>
      </w:r>
      <w:r w:rsidRPr="00251BCC">
        <w:rPr>
          <w:rFonts w:ascii="Times New Roman" w:hAnsi="Times New Roman" w:cs="Times New Roman"/>
          <w:bCs/>
        </w:rPr>
        <w:t xml:space="preserve">. </w:t>
      </w:r>
      <w:proofErr w:type="spellStart"/>
      <w:r w:rsidRPr="00251BCC">
        <w:rPr>
          <w:rFonts w:ascii="Times New Roman" w:hAnsi="Times New Roman" w:cs="Times New Roman"/>
          <w:bCs/>
        </w:rPr>
        <w:t>SeaFAST</w:t>
      </w:r>
      <w:proofErr w:type="spellEnd"/>
      <w:r w:rsidRPr="00251BCC">
        <w:rPr>
          <w:rFonts w:ascii="Times New Roman" w:hAnsi="Times New Roman" w:cs="Times New Roman"/>
          <w:bCs/>
        </w:rPr>
        <w:t xml:space="preserve"> blanks and limits of detection determined by converting cps to </w:t>
      </w:r>
      <w:proofErr w:type="spellStart"/>
      <w:r w:rsidRPr="00251BCC">
        <w:rPr>
          <w:rFonts w:ascii="Times New Roman" w:hAnsi="Times New Roman" w:cs="Times New Roman"/>
          <w:bCs/>
        </w:rPr>
        <w:t>nM</w:t>
      </w:r>
      <w:proofErr w:type="spellEnd"/>
      <w:r w:rsidRPr="00251BCC">
        <w:rPr>
          <w:rFonts w:ascii="Times New Roman" w:hAnsi="Times New Roman" w:cs="Times New Roman"/>
          <w:bCs/>
        </w:rPr>
        <w:t xml:space="preserve">, and correcting for matrix effects. MQ blank concentrations shown are averages across runs ± 1 standard deviation, with replicate blanks averaged within runs. The number of test sets (n) represents individual ICP-MS runs where blanks were </w:t>
      </w:r>
      <w:proofErr w:type="spellStart"/>
      <w:r w:rsidRPr="00251BCC">
        <w:rPr>
          <w:rFonts w:ascii="Times New Roman" w:hAnsi="Times New Roman" w:cs="Times New Roman"/>
          <w:bCs/>
        </w:rPr>
        <w:t>preconcentrated</w:t>
      </w:r>
      <w:proofErr w:type="spellEnd"/>
      <w:r w:rsidRPr="00251BCC">
        <w:rPr>
          <w:rFonts w:ascii="Times New Roman" w:hAnsi="Times New Roman" w:cs="Times New Roman"/>
          <w:bCs/>
        </w:rPr>
        <w:t xml:space="preserve"> alongside seawater samples and analyzed via ICP-MS. *For Zn, high MQ blanks were observed in 4 runs, and these values were excluded from the blank averages and LOD shown.</w:t>
      </w:r>
    </w:p>
    <w:p w14:paraId="22AF7462" w14:textId="77777777" w:rsidR="00251BCC" w:rsidRPr="00251BCC" w:rsidRDefault="00251BCC">
      <w:pPr>
        <w:rPr>
          <w:rFonts w:ascii="Times New Roman" w:hAnsi="Times New Roman" w:cs="Times New Roman"/>
          <w:b/>
          <w:sz w:val="24"/>
          <w:szCs w:val="24"/>
        </w:rPr>
      </w:pPr>
    </w:p>
    <w:p w14:paraId="4F95E742" w14:textId="656C2CFB" w:rsidR="00D428A4" w:rsidRPr="00214676" w:rsidRDefault="00162743" w:rsidP="00D428A4">
      <w:pPr>
        <w:rPr>
          <w:rFonts w:ascii="Times New Roman" w:hAnsi="Times New Roman" w:cs="Times New Roman"/>
          <w:sz w:val="24"/>
          <w:szCs w:val="24"/>
        </w:rPr>
      </w:pPr>
      <w:r>
        <w:rPr>
          <w:rFonts w:cs="Times New Roman"/>
          <w:noProof/>
        </w:rPr>
        <w:drawing>
          <wp:inline distT="0" distB="0" distL="0" distR="0" wp14:anchorId="0206878F" wp14:editId="69C5725B">
            <wp:extent cx="5943600" cy="373998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ix_GP16.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739984"/>
                    </a:xfrm>
                    <a:prstGeom prst="rect">
                      <a:avLst/>
                    </a:prstGeom>
                  </pic:spPr>
                </pic:pic>
              </a:graphicData>
            </a:graphic>
          </wp:inline>
        </w:drawing>
      </w:r>
    </w:p>
    <w:p w14:paraId="0365E055" w14:textId="6C3252B2" w:rsidR="00D428A4" w:rsidRDefault="00162743" w:rsidP="00162743">
      <w:pPr>
        <w:pBdr>
          <w:bottom w:val="single" w:sz="12" w:space="1" w:color="auto"/>
        </w:pBdr>
        <w:rPr>
          <w:rFonts w:ascii="Times New Roman" w:hAnsi="Times New Roman" w:cs="Times New Roman"/>
          <w:sz w:val="24"/>
          <w:szCs w:val="24"/>
        </w:rPr>
      </w:pPr>
      <w:r w:rsidRPr="00214676">
        <w:rPr>
          <w:rFonts w:ascii="Times New Roman" w:hAnsi="Times New Roman" w:cs="Times New Roman"/>
          <w:b/>
          <w:sz w:val="24"/>
          <w:szCs w:val="24"/>
        </w:rPr>
        <w:t xml:space="preserve">Supplemental Fig. </w:t>
      </w:r>
      <w:r>
        <w:rPr>
          <w:rFonts w:ascii="Times New Roman" w:hAnsi="Times New Roman" w:cs="Times New Roman"/>
          <w:b/>
          <w:sz w:val="24"/>
          <w:szCs w:val="24"/>
        </w:rPr>
        <w:t>2</w:t>
      </w:r>
      <w:r w:rsidRPr="00214676">
        <w:rPr>
          <w:rFonts w:ascii="Times New Roman" w:hAnsi="Times New Roman" w:cs="Times New Roman"/>
          <w:sz w:val="24"/>
          <w:szCs w:val="24"/>
        </w:rPr>
        <w:t xml:space="preserve">. </w:t>
      </w:r>
      <w:r>
        <w:rPr>
          <w:rFonts w:ascii="Times New Roman" w:hAnsi="Times New Roman" w:cs="Times New Roman"/>
          <w:sz w:val="24"/>
          <w:szCs w:val="24"/>
        </w:rPr>
        <w:t xml:space="preserve">Dissolved metal profiles obtained in this study compared to the closest station of the GP16 cruise, which sampled approximately 1,000 km east of the </w:t>
      </w:r>
      <w:proofErr w:type="spellStart"/>
      <w:r>
        <w:rPr>
          <w:rFonts w:ascii="Times New Roman" w:hAnsi="Times New Roman" w:cs="Times New Roman"/>
          <w:sz w:val="24"/>
          <w:szCs w:val="24"/>
        </w:rPr>
        <w:t>Metzyme</w:t>
      </w:r>
      <w:proofErr w:type="spellEnd"/>
      <w:r>
        <w:rPr>
          <w:rFonts w:ascii="Times New Roman" w:hAnsi="Times New Roman" w:cs="Times New Roman"/>
          <w:sz w:val="24"/>
          <w:szCs w:val="24"/>
        </w:rPr>
        <w:t xml:space="preserve"> transect in the South Pacific</w:t>
      </w:r>
      <w:r w:rsidRPr="00162743">
        <w:t xml:space="preserve"> </w:t>
      </w:r>
      <w:r w:rsidRPr="00162743">
        <w:rPr>
          <w:rFonts w:ascii="Times New Roman" w:hAnsi="Times New Roman" w:cs="Times New Roman"/>
          <w:sz w:val="24"/>
          <w:szCs w:val="24"/>
        </w:rPr>
        <w:t xml:space="preserve">The profiles show overall similar distributions, with </w:t>
      </w:r>
      <w:r>
        <w:rPr>
          <w:rFonts w:ascii="Times New Roman" w:hAnsi="Times New Roman" w:cs="Times New Roman"/>
          <w:sz w:val="24"/>
          <w:szCs w:val="24"/>
        </w:rPr>
        <w:t>slight</w:t>
      </w:r>
      <w:r w:rsidRPr="00162743">
        <w:rPr>
          <w:rFonts w:ascii="Times New Roman" w:hAnsi="Times New Roman" w:cs="Times New Roman"/>
          <w:sz w:val="24"/>
          <w:szCs w:val="24"/>
        </w:rPr>
        <w:t xml:space="preserve"> offsets at depth for Zn, Cd and </w:t>
      </w:r>
      <w:r>
        <w:rPr>
          <w:rFonts w:ascii="Times New Roman" w:hAnsi="Times New Roman" w:cs="Times New Roman"/>
          <w:sz w:val="24"/>
          <w:szCs w:val="24"/>
        </w:rPr>
        <w:t>Ni</w:t>
      </w:r>
      <w:r w:rsidRPr="00162743">
        <w:rPr>
          <w:rFonts w:ascii="Times New Roman" w:hAnsi="Times New Roman" w:cs="Times New Roman"/>
          <w:sz w:val="24"/>
          <w:szCs w:val="24"/>
        </w:rPr>
        <w:t>. Fe profiles are elevated at our St. 9 which we hypothesize i</w:t>
      </w:r>
      <w:r>
        <w:rPr>
          <w:rFonts w:ascii="Times New Roman" w:hAnsi="Times New Roman" w:cs="Times New Roman"/>
          <w:sz w:val="24"/>
          <w:szCs w:val="24"/>
        </w:rPr>
        <w:t>s due to hydrothermal influence</w:t>
      </w:r>
      <w:r w:rsidRPr="00162743">
        <w:rPr>
          <w:rFonts w:ascii="Times New Roman" w:hAnsi="Times New Roman" w:cs="Times New Roman"/>
          <w:sz w:val="24"/>
          <w:szCs w:val="24"/>
        </w:rPr>
        <w:t>.</w:t>
      </w:r>
      <w:r>
        <w:rPr>
          <w:rFonts w:ascii="Times New Roman" w:hAnsi="Times New Roman" w:cs="Times New Roman"/>
          <w:sz w:val="24"/>
          <w:szCs w:val="24"/>
        </w:rPr>
        <w:t xml:space="preserve"> The Fe and Cd concentrations are from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"10.1016/j.marchem.2017.06.003", "ISBN" : "03044203", "ISSN" : "03044203", "PMID" : "10214822", "abstract" : "The basin-scale distributions of iron (Fe) and Fe isotopes provide important insights into the biogeochemical cycling of this growth-limiting micronutrient in the ocean. Here we present new observations of dissolved Fe concentrations and stable isotope ratios (\u03b456Fe) from the US GEOTRACES Eastern Pacific Zonal Transect GP16. The western portion of the transect is characterized by low dissolved Fe concentrations with a heavy \u03b456Fe signature of + 0.4 to + 0.6\u2030, similar to the dust-influenced North Atlantic deep waters. This is punctuated by Fe inputs from hydrothermal vents along the East Pacific Rise, with a \u03b456Fe of \u2212 0.3\u2030. One striking feature of the transect is a large plume of high dissolved Fe and low \u03b456Fe (0 to \u2212 0.5\u2030) in the east, near the Peru margin. Here, maximum dissolved Fe occurs between 1000 and 3000 m and the elevated concentrations persist over 1000 km from the margin. The region of markedly lower \u03b456Fe extends even further, to roughly 4000 km offshore. The mid-slope depth at which this plume occurs (1000\u20133000 m) is at odds with current conceptual and numerical models of Fe inputs along continental margins, which predict a shallower and more restricted dissolved Fe maximum (upper-slope; ~ 100\u20131000 m). Here, we explore four possible explanations for the mid-slope Fe plume: (1) Fe fluxes are actually higher from mid-slope sediments; (2) the mid-slope plume is transported from a remote region (3) mid-slope Fe originates from resuspended sediments in a very persistent form, which remains in the dissolved phase for longer than Fe released from the upper-slope; (4) Fe is supplied from upper-slope sediments, and then transferred to greater depth by reversible scavenging onto sinking particles. Simple modeling is used to show that both input of persistent Fe from mid-slope sediments and reversible scavenging could explain the data. Flux of a more persistent chemical form of Fe from the mid-slope would be consistent with other tracers such as particle composition and228Ra, which suggest that lithogenic sediments are preferentially resuspended at this depth, but may be at odds with the low \u03b456Fe signature. Reversible scavenging is consistent with both Fe concentrations and \u03b456Fe. Whatever its provenance, the plume observed near the Peru margin impacts Fe concentrations and \u03b456Fe throughout the entire eastern South Pacific region, suggesting that the roles of persistent Fe input and reversible scavenging should be appraised in fully coupled iron-ca\u2026", "author" : [ { "dropping-particle" : "", "family" : "John", "given" : "Seth G.", "non-dropping-particle" : "", "parse-names" : false, "suffix" : "" }, { "dropping-particle" : "", "family" : "Helgoe", "given" : "Joshua", "non-dropping-particle" : "", "parse-names" : false, "suffix" : "" }, { "dropping-particle" : "", "family" : "Townsend", "given" : "Emily", "non-dropping-particle" : "", "parse-names" : false, "suffix" : "" }, { "dropping-particle" : "", "family" : "Weber", "given" : "Tom", "non-dropping-particle" : "", "parse-names" : false, "suffix" : "" }, { "dropping-particle" : "", "family" : "DeVries", "given" : "Tim", "non-dropping-particle" : "", "parse-names" : false, "suffix" : "" }, { "dropping-particle" : "", "family" : "Tagliabue", "given" : "Alessandro", "non-dropping-particle" : "", "parse-names" : false, "suffix" : "" }, { "dropping-particle" : "", "family" : "Moore", "given" : "Keith", "non-dropping-particle" : "", "parse-names" : false, "suffix" : "" }, { "dropping-particle" : "", "family" : "Lam", "given" : "Phoebe", "non-dropping-particle" : "", "parse-names" : false, "suffix" : "" }, { "dropping-particle" : "", "family" : "Marsay", "given" : "Chris M.", "non-dropping-particle" : "", "parse-names" : false, "suffix" : "" }, { "dropping-particle" : "", "family" : "Till", "given" : "Claire", "non-dropping-particle" : "", "parse-names" : false, "suffix" : "" } ], "container-title" : "Marine Chemistry", "id" : "ITEM-1", "issued" : { "date-parts" : [ [ "2018" ] ] }, "page" : "66-76", "title" : "Biogeochemical cycling of Fe and Fe stable isotopes in the Eastern Tropical South Pacific", "type" : "article-journal", "volume" : "201" }, "uris" : [ "http://www.mendeley.com/documents/?uuid=0b107ca3-7bed-4613-a47f-ce130ff7c83b" ] }, { "id" : "ITEM-2", "itemData" : { "DOI" : "10.1016/j.marchem.2017.06.001", "ISBN" : "03044203", "ISSN" : "03044203", "abstract" : "The distribution of Zn and Cd and their stable isotope ratios (\u03b466Zn and \u03b4114Cd) were measured on samples from the Eastern Subtropical South Pacific Zonal Transect (EPZT), US GEOTRACES section GP16. The broad trends in both \u03b466Zn and \u03b4114Cd are similar to those observed in other ocean basins, suggesting global similarities in the biogeochemical processes which cycle Zn and Cd. For example, average deep ocean \u03b466Zn along this transect (+0.46\u2030) are similar to the ~+0.5\u2030 values observed in the deep North Atlantic and North Pacific. Also similar to other locations, \u03b466Zn decreases towards the surface ocean. A plume of hydrothermal Zn emanating from the East Pacific Rise is used to calculate hydrothermal end-member \u03b466Zn as +0.24\u2030, which is similar to crustal values and similar to other sources of Zn to the oceans. Average deep-ocean \u03b4114Cd along this transect is +0.28\u2030, which is similar to deep-ocean values between +0.2 and +0.3 measured elsewhere in the Atlantic, Pacific, and Southern Oceans. \u03b4114Cd increases towards the surface ocean, as observed in other ocean basins, reflecting the preferential biological uptake of lighter Cd isotopes. Elsewhere it has been hypothesized that Cd can precipitate in sulfidic microenvironments on sinking particles, affecting seawater Cd concentrations and isotope ratios. However, we don't find evidence of particularly strong CdS precipitation along this transect, despite the fact that the Peru OMZ is one of the most reducing ocean environments worldwide.", "author" : [ { "dropping-particle" : "", "family" : "John", "given" : "Seth G.", "non-dropping-particle" : "", "parse-names" : false, "suffix" : "" }, { "dropping-particle" : "", "family" : "Helgoe", "given" : "Joshua", "non-dropping-particle" : "", "parse-names" : false, "suffix" : "" }, { "dropping-particle" : "", "family" : "Townsend", "given" : "Emily", "non-dropping-particle" : "", "parse-names" : false, "suffix" : "" } ], "container-title" : "Marine Chemistry", "id" : "ITEM-2", "issue" : "June", "issued" : { "date-parts" : [ [ "2017" ] ] }, "page" : "0-1", "title" : "Biogeochemical cycling of Zn and Cd and their stable isotopes in the Eastern Tropical South Pacific", "type" : "article-journal" }, "uris" : [ "http://www.mendeley.com/documents/?uuid=11dce58e-e870-4e7b-8a3e-c4fd18359cc3" ] } ], "mendeley" : { "formattedCitation" : "(John et al. 2017, 2018)", "manualFormatting" : "John et al. (2017) and (2018)", "plainTextFormattedCitation" : "(John et al. 2017, 2018)", "previouslyFormattedCitation" : "(John et al. 2017, 2018)" }, "properties" : { "noteIndex" : 3 }, "schema" : "https://github.com/citation-style-language/schema/raw/master/csl-citation.json" }</w:instrText>
      </w:r>
      <w:r>
        <w:rPr>
          <w:rFonts w:ascii="Times New Roman" w:hAnsi="Times New Roman" w:cs="Times New Roman"/>
          <w:sz w:val="24"/>
          <w:szCs w:val="24"/>
        </w:rPr>
        <w:fldChar w:fldCharType="separate"/>
      </w:r>
      <w:r w:rsidRPr="00162743">
        <w:rPr>
          <w:rFonts w:ascii="Times New Roman" w:hAnsi="Times New Roman" w:cs="Times New Roman"/>
          <w:noProof/>
          <w:sz w:val="24"/>
          <w:szCs w:val="24"/>
        </w:rPr>
        <w:t xml:space="preserve">John et al. </w:t>
      </w:r>
      <w:r>
        <w:rPr>
          <w:rFonts w:ascii="Times New Roman" w:hAnsi="Times New Roman" w:cs="Times New Roman"/>
          <w:noProof/>
          <w:sz w:val="24"/>
          <w:szCs w:val="24"/>
        </w:rPr>
        <w:t>(</w:t>
      </w:r>
      <w:r w:rsidRPr="00162743">
        <w:rPr>
          <w:rFonts w:ascii="Times New Roman" w:hAnsi="Times New Roman" w:cs="Times New Roman"/>
          <w:noProof/>
          <w:sz w:val="24"/>
          <w:szCs w:val="24"/>
        </w:rPr>
        <w:t>2017</w:t>
      </w:r>
      <w:r>
        <w:rPr>
          <w:rFonts w:ascii="Times New Roman" w:hAnsi="Times New Roman" w:cs="Times New Roman"/>
          <w:noProof/>
          <w:sz w:val="24"/>
          <w:szCs w:val="24"/>
        </w:rPr>
        <w:t>) and</w:t>
      </w:r>
      <w:r w:rsidRPr="00162743">
        <w:rPr>
          <w:rFonts w:ascii="Times New Roman" w:hAnsi="Times New Roman" w:cs="Times New Roman"/>
          <w:noProof/>
          <w:sz w:val="24"/>
          <w:szCs w:val="24"/>
        </w:rPr>
        <w:t xml:space="preserve"> </w:t>
      </w:r>
      <w:r>
        <w:rPr>
          <w:rFonts w:ascii="Times New Roman" w:hAnsi="Times New Roman" w:cs="Times New Roman"/>
          <w:noProof/>
          <w:sz w:val="24"/>
          <w:szCs w:val="24"/>
        </w:rPr>
        <w:t>(</w:t>
      </w:r>
      <w:r w:rsidRPr="00162743">
        <w:rPr>
          <w:rFonts w:ascii="Times New Roman" w:hAnsi="Times New Roman" w:cs="Times New Roman"/>
          <w:noProof/>
          <w:sz w:val="24"/>
          <w:szCs w:val="24"/>
        </w:rPr>
        <w:t>2018)</w:t>
      </w:r>
      <w:r>
        <w:rPr>
          <w:rFonts w:ascii="Times New Roman" w:hAnsi="Times New Roman" w:cs="Times New Roman"/>
          <w:sz w:val="24"/>
          <w:szCs w:val="24"/>
        </w:rPr>
        <w:fldChar w:fldCharType="end"/>
      </w:r>
      <w:r w:rsidR="008431F5">
        <w:rPr>
          <w:rFonts w:ascii="Times New Roman" w:hAnsi="Times New Roman" w:cs="Times New Roman"/>
          <w:sz w:val="24"/>
          <w:szCs w:val="24"/>
        </w:rPr>
        <w:t xml:space="preserve"> (</w:t>
      </w:r>
      <w:r w:rsidR="008431F5" w:rsidRPr="008431F5">
        <w:rPr>
          <w:rFonts w:ascii="Times New Roman" w:hAnsi="Times New Roman" w:cs="Times New Roman"/>
          <w:sz w:val="24"/>
          <w:szCs w:val="24"/>
        </w:rPr>
        <w:t>https://www.bco-dmo.org/dataset/643809</w:t>
      </w:r>
      <w:r w:rsidR="008431F5">
        <w:rPr>
          <w:rFonts w:ascii="Times New Roman" w:hAnsi="Times New Roman" w:cs="Times New Roman"/>
          <w:sz w:val="24"/>
          <w:szCs w:val="24"/>
        </w:rPr>
        <w:t>)</w:t>
      </w:r>
      <w:r>
        <w:rPr>
          <w:rFonts w:ascii="Times New Roman" w:hAnsi="Times New Roman" w:cs="Times New Roman"/>
          <w:sz w:val="24"/>
          <w:szCs w:val="24"/>
        </w:rPr>
        <w:t xml:space="preserve">, and Zn, Ni, and </w:t>
      </w:r>
      <w:proofErr w:type="spellStart"/>
      <w:r>
        <w:rPr>
          <w:rFonts w:ascii="Times New Roman" w:hAnsi="Times New Roman" w:cs="Times New Roman"/>
          <w:sz w:val="24"/>
          <w:szCs w:val="24"/>
        </w:rPr>
        <w:t>Mn</w:t>
      </w:r>
      <w:proofErr w:type="spellEnd"/>
      <w:r>
        <w:rPr>
          <w:rFonts w:ascii="Times New Roman" w:hAnsi="Times New Roman" w:cs="Times New Roman"/>
          <w:sz w:val="24"/>
          <w:szCs w:val="24"/>
        </w:rPr>
        <w:t xml:space="preserve"> from the </w:t>
      </w:r>
      <w:proofErr w:type="spellStart"/>
      <w:r>
        <w:rPr>
          <w:rFonts w:ascii="Times New Roman" w:hAnsi="Times New Roman" w:cs="Times New Roman"/>
          <w:sz w:val="24"/>
          <w:szCs w:val="24"/>
        </w:rPr>
        <w:t>Bruland</w:t>
      </w:r>
      <w:proofErr w:type="spellEnd"/>
      <w:r>
        <w:rPr>
          <w:rFonts w:ascii="Times New Roman" w:hAnsi="Times New Roman" w:cs="Times New Roman"/>
          <w:sz w:val="24"/>
          <w:szCs w:val="24"/>
        </w:rPr>
        <w:t xml:space="preserve"> data set </w:t>
      </w:r>
      <w:r w:rsidRPr="00162743">
        <w:rPr>
          <w:rFonts w:ascii="Times New Roman" w:hAnsi="Times New Roman" w:cs="Times New Roman"/>
          <w:sz w:val="24"/>
          <w:szCs w:val="24"/>
        </w:rPr>
        <w:t>(</w:t>
      </w:r>
      <w:hyperlink r:id="rId6" w:history="1">
        <w:r w:rsidR="008431F5" w:rsidRPr="00A24B01">
          <w:rPr>
            <w:rStyle w:val="Hyperlink"/>
            <w:rFonts w:ascii="Times New Roman" w:hAnsi="Times New Roman" w:cs="Times New Roman"/>
            <w:sz w:val="24"/>
            <w:szCs w:val="24"/>
          </w:rPr>
          <w:t>https://www.bco-dmo.org/dataset-deployment/643427</w:t>
        </w:r>
      </w:hyperlink>
      <w:r w:rsidRPr="00162743">
        <w:rPr>
          <w:rFonts w:ascii="Times New Roman" w:hAnsi="Times New Roman" w:cs="Times New Roman"/>
          <w:sz w:val="24"/>
          <w:szCs w:val="24"/>
        </w:rPr>
        <w:t>).</w:t>
      </w:r>
    </w:p>
    <w:p w14:paraId="43AA693C" w14:textId="77777777" w:rsidR="00251BCC" w:rsidRDefault="00251BCC" w:rsidP="00162743">
      <w:pPr>
        <w:rPr>
          <w:rFonts w:ascii="Times New Roman" w:hAnsi="Times New Roman" w:cs="Times New Roman"/>
          <w:sz w:val="24"/>
          <w:szCs w:val="24"/>
        </w:rPr>
      </w:pPr>
    </w:p>
    <w:p w14:paraId="408EEE9B" w14:textId="748BBF68" w:rsidR="00D428A4" w:rsidRDefault="00F32049" w:rsidP="00D428A4">
      <w:pPr>
        <w:jc w:val="center"/>
        <w:rPr>
          <w:rFonts w:ascii="Times New Roman" w:hAnsi="Times New Roman" w:cs="Times New Roman"/>
          <w:sz w:val="24"/>
          <w:szCs w:val="24"/>
        </w:rPr>
      </w:pPr>
      <w:bookmarkStart w:id="0" w:name="_GoBack"/>
      <w:bookmarkEnd w:id="0"/>
      <w:r>
        <w:rPr>
          <w:rFonts w:ascii="Times New Roman" w:hAnsi="Times New Roman" w:cs="Times New Roman"/>
          <w:noProof/>
          <w:sz w:val="24"/>
          <w:szCs w:val="24"/>
        </w:rPr>
        <w:lastRenderedPageBreak/>
        <w:drawing>
          <wp:inline distT="0" distB="0" distL="0" distR="0" wp14:anchorId="6B97AFD3" wp14:editId="1302FC0A">
            <wp:extent cx="2938780" cy="4529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8780" cy="4529455"/>
                    </a:xfrm>
                    <a:prstGeom prst="rect">
                      <a:avLst/>
                    </a:prstGeom>
                    <a:noFill/>
                  </pic:spPr>
                </pic:pic>
              </a:graphicData>
            </a:graphic>
          </wp:inline>
        </w:drawing>
      </w:r>
    </w:p>
    <w:p w14:paraId="659A1A8B" w14:textId="77777777" w:rsidR="00F32049" w:rsidRPr="00214676" w:rsidRDefault="00F32049" w:rsidP="00D428A4">
      <w:pPr>
        <w:jc w:val="center"/>
        <w:rPr>
          <w:rFonts w:ascii="Times New Roman" w:hAnsi="Times New Roman" w:cs="Times New Roman"/>
          <w:sz w:val="24"/>
          <w:szCs w:val="24"/>
        </w:rPr>
      </w:pPr>
    </w:p>
    <w:p w14:paraId="46649131" w14:textId="64224B79" w:rsidR="00D428A4" w:rsidRPr="00214676" w:rsidRDefault="00162743" w:rsidP="001C6750">
      <w:pPr>
        <w:rPr>
          <w:rFonts w:ascii="Times New Roman" w:hAnsi="Times New Roman" w:cs="Times New Roman"/>
          <w:sz w:val="24"/>
          <w:szCs w:val="24"/>
        </w:rPr>
      </w:pPr>
      <w:r>
        <w:rPr>
          <w:rFonts w:ascii="Times New Roman" w:hAnsi="Times New Roman" w:cs="Times New Roman"/>
          <w:b/>
          <w:sz w:val="24"/>
          <w:szCs w:val="24"/>
        </w:rPr>
        <w:t>Supplemental Fig. 6.</w:t>
      </w:r>
      <w:r w:rsidR="00D428A4" w:rsidRPr="00214676">
        <w:rPr>
          <w:rFonts w:ascii="Times New Roman" w:hAnsi="Times New Roman" w:cs="Times New Roman"/>
          <w:b/>
          <w:sz w:val="24"/>
          <w:szCs w:val="24"/>
        </w:rPr>
        <w:t xml:space="preserve"> </w:t>
      </w:r>
      <w:r w:rsidR="001C6750" w:rsidRPr="001C6750">
        <w:rPr>
          <w:rFonts w:ascii="Times New Roman" w:hAnsi="Times New Roman" w:cs="Times New Roman"/>
          <w:sz w:val="24"/>
          <w:szCs w:val="24"/>
        </w:rPr>
        <w:t>(</w:t>
      </w:r>
      <w:r w:rsidR="001C6750">
        <w:rPr>
          <w:rFonts w:ascii="Times New Roman" w:hAnsi="Times New Roman" w:cs="Times New Roman"/>
          <w:b/>
          <w:sz w:val="24"/>
          <w:szCs w:val="24"/>
        </w:rPr>
        <w:t>A</w:t>
      </w:r>
      <w:r w:rsidR="001C6750" w:rsidRPr="001C6750">
        <w:rPr>
          <w:rFonts w:ascii="Times New Roman" w:hAnsi="Times New Roman" w:cs="Times New Roman"/>
          <w:sz w:val="24"/>
          <w:szCs w:val="24"/>
        </w:rPr>
        <w:t>)</w:t>
      </w:r>
      <w:r w:rsidR="001C6750">
        <w:rPr>
          <w:rFonts w:ascii="Times New Roman" w:hAnsi="Times New Roman" w:cs="Times New Roman"/>
          <w:b/>
          <w:sz w:val="24"/>
          <w:szCs w:val="24"/>
        </w:rPr>
        <w:t xml:space="preserve"> </w:t>
      </w:r>
      <w:r w:rsidR="00D428A4" w:rsidRPr="00214676">
        <w:rPr>
          <w:rFonts w:ascii="Times New Roman" w:hAnsi="Times New Roman" w:cs="Times New Roman"/>
          <w:sz w:val="24"/>
          <w:szCs w:val="24"/>
        </w:rPr>
        <w:t>Estimated relationship between dissolved iron and excess helium in the NE Lau Basin using δ</w:t>
      </w:r>
      <w:r w:rsidR="00D428A4" w:rsidRPr="00214676">
        <w:rPr>
          <w:rFonts w:ascii="Times New Roman" w:hAnsi="Times New Roman" w:cs="Times New Roman"/>
          <w:sz w:val="24"/>
          <w:szCs w:val="24"/>
          <w:vertAlign w:val="superscript"/>
        </w:rPr>
        <w:t>3</w:t>
      </w:r>
      <w:r w:rsidR="00D428A4" w:rsidRPr="00214676">
        <w:rPr>
          <w:rFonts w:ascii="Times New Roman" w:hAnsi="Times New Roman" w:cs="Times New Roman"/>
          <w:sz w:val="24"/>
          <w:szCs w:val="24"/>
        </w:rPr>
        <w:t xml:space="preserve">He reported in Lupton et al. (2004) at the same coordinates as </w:t>
      </w:r>
      <w:proofErr w:type="spellStart"/>
      <w:r w:rsidR="00D428A4" w:rsidRPr="00214676">
        <w:rPr>
          <w:rFonts w:ascii="Times New Roman" w:hAnsi="Times New Roman" w:cs="Times New Roman"/>
          <w:sz w:val="24"/>
          <w:szCs w:val="24"/>
        </w:rPr>
        <w:t>Metzyme</w:t>
      </w:r>
      <w:proofErr w:type="spellEnd"/>
      <w:r w:rsidR="00D428A4" w:rsidRPr="00214676">
        <w:rPr>
          <w:rFonts w:ascii="Times New Roman" w:hAnsi="Times New Roman" w:cs="Times New Roman"/>
          <w:sz w:val="24"/>
          <w:szCs w:val="24"/>
        </w:rPr>
        <w:t xml:space="preserve"> St. 12, and iron concentrations from St. 12. For comparison, the dFe:</w:t>
      </w:r>
      <w:r w:rsidR="00D428A4" w:rsidRPr="00214676">
        <w:rPr>
          <w:rFonts w:ascii="Times New Roman" w:hAnsi="Times New Roman" w:cs="Times New Roman"/>
          <w:sz w:val="24"/>
          <w:szCs w:val="24"/>
          <w:vertAlign w:val="superscript"/>
        </w:rPr>
        <w:t>3</w:t>
      </w:r>
      <w:r w:rsidR="00D428A4" w:rsidRPr="00214676">
        <w:rPr>
          <w:rFonts w:ascii="Times New Roman" w:hAnsi="Times New Roman" w:cs="Times New Roman"/>
          <w:sz w:val="24"/>
          <w:szCs w:val="24"/>
        </w:rPr>
        <w:t xml:space="preserve">He ratio obtained using Fe concentrations from St. 13 is shown in Fig 5C. </w:t>
      </w:r>
      <w:r w:rsidR="00F0202F">
        <w:rPr>
          <w:rFonts w:ascii="Times New Roman" w:hAnsi="Times New Roman" w:cs="Times New Roman"/>
          <w:sz w:val="24"/>
          <w:szCs w:val="24"/>
        </w:rPr>
        <w:t>A Type II linear regression is plotted</w:t>
      </w:r>
      <w:r w:rsidR="00D428A4" w:rsidRPr="00214676">
        <w:rPr>
          <w:rFonts w:ascii="Times New Roman" w:hAnsi="Times New Roman" w:cs="Times New Roman"/>
          <w:sz w:val="24"/>
          <w:szCs w:val="24"/>
        </w:rPr>
        <w:t xml:space="preserve"> (Glover et al., 2012). Total He and Ne concentrations were not available and were estimated for this region (Jenkins et al., 2019a).</w:t>
      </w:r>
      <w:r w:rsidR="00D428A4" w:rsidRPr="00214676">
        <w:rPr>
          <w:rFonts w:ascii="Times New Roman" w:hAnsi="Times New Roman" w:cs="Times New Roman"/>
          <w:b/>
          <w:sz w:val="24"/>
          <w:szCs w:val="24"/>
        </w:rPr>
        <w:t xml:space="preserve"> </w:t>
      </w:r>
      <w:r w:rsidR="00D428A4" w:rsidRPr="00214676">
        <w:rPr>
          <w:rFonts w:ascii="Times New Roman" w:hAnsi="Times New Roman" w:cs="Times New Roman"/>
          <w:sz w:val="24"/>
          <w:szCs w:val="24"/>
        </w:rPr>
        <w:t xml:space="preserve">Upper water column </w:t>
      </w:r>
      <w:r w:rsidR="00D428A4" w:rsidRPr="00214676">
        <w:rPr>
          <w:rFonts w:ascii="Times New Roman" w:hAnsi="Times New Roman" w:cs="Times New Roman"/>
          <w:sz w:val="24"/>
          <w:szCs w:val="24"/>
          <w:vertAlign w:val="superscript"/>
        </w:rPr>
        <w:t>3</w:t>
      </w:r>
      <w:r w:rsidR="00D428A4" w:rsidRPr="00214676">
        <w:rPr>
          <w:rFonts w:ascii="Times New Roman" w:hAnsi="Times New Roman" w:cs="Times New Roman"/>
          <w:sz w:val="24"/>
          <w:szCs w:val="24"/>
        </w:rPr>
        <w:t xml:space="preserve">He concentrations were extrapolated using historical data from Lupton et al. (2004). </w:t>
      </w:r>
      <w:r w:rsidR="00F0202F" w:rsidRPr="00214676">
        <w:rPr>
          <w:rFonts w:ascii="Times New Roman" w:hAnsi="Times New Roman" w:cs="Times New Roman"/>
          <w:sz w:val="24"/>
          <w:szCs w:val="24"/>
        </w:rPr>
        <w:t xml:space="preserve">St. 12 has two Fe maxima, neither of which align with the 1,726 m </w:t>
      </w:r>
      <w:r w:rsidR="00F0202F" w:rsidRPr="00214676">
        <w:rPr>
          <w:rFonts w:ascii="Times New Roman" w:hAnsi="Times New Roman" w:cs="Times New Roman"/>
          <w:sz w:val="24"/>
          <w:szCs w:val="24"/>
          <w:vertAlign w:val="superscript"/>
        </w:rPr>
        <w:t>3</w:t>
      </w:r>
      <w:r w:rsidR="00F0202F" w:rsidRPr="00214676">
        <w:rPr>
          <w:rFonts w:ascii="Times New Roman" w:hAnsi="Times New Roman" w:cs="Times New Roman"/>
          <w:sz w:val="24"/>
          <w:szCs w:val="24"/>
        </w:rPr>
        <w:t>He maximum, and therefore only the top of the profile is used in the regression.</w:t>
      </w:r>
      <w:r w:rsidR="001C6750">
        <w:rPr>
          <w:rFonts w:ascii="Times New Roman" w:hAnsi="Times New Roman" w:cs="Times New Roman"/>
          <w:sz w:val="24"/>
          <w:szCs w:val="24"/>
        </w:rPr>
        <w:t xml:space="preserve"> (</w:t>
      </w:r>
      <w:r w:rsidR="001C6750" w:rsidRPr="001C6750">
        <w:rPr>
          <w:rFonts w:ascii="Times New Roman" w:hAnsi="Times New Roman" w:cs="Times New Roman"/>
          <w:b/>
          <w:sz w:val="24"/>
          <w:szCs w:val="24"/>
        </w:rPr>
        <w:t>B</w:t>
      </w:r>
      <w:r w:rsidR="001C6750">
        <w:rPr>
          <w:rFonts w:ascii="Times New Roman" w:hAnsi="Times New Roman" w:cs="Times New Roman"/>
          <w:sz w:val="24"/>
          <w:szCs w:val="24"/>
        </w:rPr>
        <w:t xml:space="preserve">) The relationship between </w:t>
      </w:r>
      <w:proofErr w:type="spellStart"/>
      <w:r w:rsidR="001C6750">
        <w:rPr>
          <w:rFonts w:ascii="Times New Roman" w:hAnsi="Times New Roman" w:cs="Times New Roman"/>
          <w:sz w:val="24"/>
          <w:szCs w:val="24"/>
        </w:rPr>
        <w:t>dFe</w:t>
      </w:r>
      <w:proofErr w:type="spellEnd"/>
      <w:r w:rsidR="001C6750">
        <w:rPr>
          <w:rFonts w:ascii="Times New Roman" w:hAnsi="Times New Roman" w:cs="Times New Roman"/>
          <w:sz w:val="24"/>
          <w:szCs w:val="24"/>
        </w:rPr>
        <w:t xml:space="preserve"> measured at St. 13 and </w:t>
      </w:r>
      <w:r w:rsidR="001C6750" w:rsidRPr="001C6750">
        <w:rPr>
          <w:rFonts w:ascii="Times New Roman" w:hAnsi="Times New Roman" w:cs="Times New Roman"/>
          <w:sz w:val="24"/>
          <w:szCs w:val="24"/>
          <w:vertAlign w:val="superscript"/>
        </w:rPr>
        <w:t>3</w:t>
      </w:r>
      <w:r w:rsidR="001C6750">
        <w:rPr>
          <w:rFonts w:ascii="Times New Roman" w:hAnsi="Times New Roman" w:cs="Times New Roman"/>
          <w:sz w:val="24"/>
          <w:szCs w:val="24"/>
        </w:rPr>
        <w:t xml:space="preserve">He from </w:t>
      </w:r>
      <w:r w:rsidR="001C6750" w:rsidRPr="00214676">
        <w:rPr>
          <w:rFonts w:ascii="Times New Roman" w:hAnsi="Times New Roman" w:cs="Times New Roman"/>
          <w:sz w:val="24"/>
          <w:szCs w:val="24"/>
        </w:rPr>
        <w:t>Lupton et al. (2004)</w:t>
      </w:r>
      <w:r w:rsidR="001C6750">
        <w:rPr>
          <w:rFonts w:ascii="Times New Roman" w:hAnsi="Times New Roman" w:cs="Times New Roman"/>
          <w:sz w:val="24"/>
          <w:szCs w:val="24"/>
        </w:rPr>
        <w:t xml:space="preserve"> shown in Fig. 5C alongside an exponential curve fit </w:t>
      </w:r>
      <w:r w:rsidR="00BB4698">
        <w:rPr>
          <w:rFonts w:ascii="Times New Roman" w:hAnsi="Times New Roman" w:cs="Times New Roman"/>
          <w:sz w:val="24"/>
          <w:szCs w:val="24"/>
        </w:rPr>
        <w:t>(</w:t>
      </w:r>
      <w:r w:rsidR="001C6750">
        <w:rPr>
          <w:rFonts w:ascii="Times New Roman" w:hAnsi="Times New Roman" w:cs="Times New Roman"/>
          <w:sz w:val="24"/>
          <w:szCs w:val="24"/>
        </w:rPr>
        <w:t>in purple</w:t>
      </w:r>
      <w:r w:rsidR="00BB4698">
        <w:rPr>
          <w:rFonts w:ascii="Times New Roman" w:hAnsi="Times New Roman" w:cs="Times New Roman"/>
          <w:sz w:val="24"/>
          <w:szCs w:val="24"/>
        </w:rPr>
        <w:t>)</w:t>
      </w:r>
      <w:r w:rsidR="001C6750">
        <w:rPr>
          <w:rFonts w:ascii="Times New Roman" w:hAnsi="Times New Roman" w:cs="Times New Roman"/>
          <w:sz w:val="24"/>
          <w:szCs w:val="24"/>
        </w:rPr>
        <w:t>. Although the exponential fit is strongly supported by a high R</w:t>
      </w:r>
      <w:r w:rsidR="001C6750" w:rsidRPr="001C6750">
        <w:rPr>
          <w:rFonts w:ascii="Times New Roman" w:hAnsi="Times New Roman" w:cs="Times New Roman"/>
          <w:sz w:val="24"/>
          <w:szCs w:val="24"/>
          <w:vertAlign w:val="superscript"/>
        </w:rPr>
        <w:t>2</w:t>
      </w:r>
      <w:r w:rsidR="001C6750">
        <w:rPr>
          <w:rFonts w:ascii="Times New Roman" w:hAnsi="Times New Roman" w:cs="Times New Roman"/>
          <w:sz w:val="24"/>
          <w:szCs w:val="24"/>
        </w:rPr>
        <w:t xml:space="preserve"> value, it is largely driven by one data point. </w:t>
      </w:r>
    </w:p>
    <w:p w14:paraId="63E490FF" w14:textId="019758EC" w:rsidR="00D428A4" w:rsidRPr="00971432" w:rsidRDefault="00D428A4" w:rsidP="00971432">
      <w:pPr>
        <w:rPr>
          <w:rFonts w:ascii="Times New Roman" w:hAnsi="Times New Roman" w:cs="Times New Roman"/>
          <w:sz w:val="24"/>
          <w:szCs w:val="24"/>
        </w:rPr>
      </w:pPr>
    </w:p>
    <w:sectPr w:rsidR="00D428A4" w:rsidRPr="009714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8A4"/>
    <w:rsid w:val="00162743"/>
    <w:rsid w:val="001C6750"/>
    <w:rsid w:val="00214676"/>
    <w:rsid w:val="00251BCC"/>
    <w:rsid w:val="008431F5"/>
    <w:rsid w:val="00861463"/>
    <w:rsid w:val="00971432"/>
    <w:rsid w:val="00BB4698"/>
    <w:rsid w:val="00C8137F"/>
    <w:rsid w:val="00D428A4"/>
    <w:rsid w:val="00D74916"/>
    <w:rsid w:val="00F0202F"/>
    <w:rsid w:val="00F1247F"/>
    <w:rsid w:val="00F32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CE764"/>
  <w15:chartTrackingRefBased/>
  <w15:docId w15:val="{1AF30CC1-E5BB-46A6-9B64-9478792F0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link w:val="AuthorsChar"/>
    <w:qFormat/>
    <w:rsid w:val="00D428A4"/>
    <w:pPr>
      <w:spacing w:before="180" w:after="0" w:line="240" w:lineRule="auto"/>
      <w:contextualSpacing/>
      <w:jc w:val="both"/>
    </w:pPr>
    <w:rPr>
      <w:rFonts w:ascii="Times New Roman" w:eastAsia="Times New Roman" w:hAnsi="Times New Roman" w:cs="Times New Roman"/>
      <w:sz w:val="24"/>
      <w:szCs w:val="24"/>
      <w:lang w:val="en-GB" w:eastAsia="de-DE"/>
    </w:rPr>
  </w:style>
  <w:style w:type="character" w:customStyle="1" w:styleId="AuthorsChar">
    <w:name w:val="Authors Char"/>
    <w:basedOn w:val="DefaultParagraphFont"/>
    <w:link w:val="Authors"/>
    <w:rsid w:val="00D428A4"/>
    <w:rPr>
      <w:rFonts w:ascii="Times New Roman" w:eastAsia="Times New Roman" w:hAnsi="Times New Roman" w:cs="Times New Roman"/>
      <w:sz w:val="24"/>
      <w:szCs w:val="24"/>
      <w:lang w:val="en-GB" w:eastAsia="de-DE"/>
    </w:rPr>
  </w:style>
  <w:style w:type="character" w:styleId="Hyperlink">
    <w:name w:val="Hyperlink"/>
    <w:rsid w:val="00D428A4"/>
    <w:rPr>
      <w:color w:val="0000FF"/>
      <w:u w:val="single"/>
    </w:rPr>
  </w:style>
  <w:style w:type="paragraph" w:customStyle="1" w:styleId="Affiliation">
    <w:name w:val="Affiliation"/>
    <w:basedOn w:val="Normal"/>
    <w:link w:val="AffiliationChar"/>
    <w:qFormat/>
    <w:rsid w:val="00D428A4"/>
    <w:pPr>
      <w:spacing w:before="120" w:after="0" w:line="240" w:lineRule="auto"/>
      <w:contextualSpacing/>
      <w:jc w:val="both"/>
    </w:pPr>
    <w:rPr>
      <w:rFonts w:ascii="Times New Roman" w:eastAsia="Times New Roman" w:hAnsi="Times New Roman" w:cs="Times New Roman"/>
      <w:sz w:val="20"/>
      <w:szCs w:val="24"/>
      <w:lang w:val="en-GB" w:eastAsia="de-DE"/>
    </w:rPr>
  </w:style>
  <w:style w:type="character" w:customStyle="1" w:styleId="AffiliationChar">
    <w:name w:val="Affiliation Char"/>
    <w:basedOn w:val="DefaultParagraphFont"/>
    <w:link w:val="Affiliation"/>
    <w:rsid w:val="00D428A4"/>
    <w:rPr>
      <w:rFonts w:ascii="Times New Roman" w:eastAsia="Times New Roman" w:hAnsi="Times New Roman" w:cs="Times New Roman"/>
      <w:sz w:val="20"/>
      <w:szCs w:val="24"/>
      <w:lang w:val="en-GB" w:eastAsia="de-DE"/>
    </w:rPr>
  </w:style>
  <w:style w:type="character" w:customStyle="1" w:styleId="UnresolvedMention">
    <w:name w:val="Unresolved Mention"/>
    <w:basedOn w:val="DefaultParagraphFont"/>
    <w:uiPriority w:val="99"/>
    <w:semiHidden/>
    <w:unhideWhenUsed/>
    <w:rsid w:val="00861463"/>
    <w:rPr>
      <w:color w:val="605E5C"/>
      <w:shd w:val="clear" w:color="auto" w:fill="E1DFDD"/>
    </w:rPr>
  </w:style>
  <w:style w:type="table" w:styleId="TableGrid">
    <w:name w:val="Table Grid"/>
    <w:basedOn w:val="TableNormal"/>
    <w:uiPriority w:val="59"/>
    <w:rsid w:val="00251BCC"/>
    <w:pPr>
      <w:spacing w:after="0" w:line="240" w:lineRule="auto"/>
    </w:pPr>
    <w:rPr>
      <w:rFonts w:ascii="Calibri" w:eastAsia="SimSu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bco-dmo.org/dataset-deployment/643427"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469C9-BF0A-49C7-8089-E3481FA92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Cohen</dc:creator>
  <cp:keywords/>
  <dc:description/>
  <cp:lastModifiedBy>Natalie Cohen</cp:lastModifiedBy>
  <cp:revision>2</cp:revision>
  <cp:lastPrinted>2021-04-09T22:54:00Z</cp:lastPrinted>
  <dcterms:created xsi:type="dcterms:W3CDTF">2021-08-18T22:50:00Z</dcterms:created>
  <dcterms:modified xsi:type="dcterms:W3CDTF">2021-08-18T22:50:00Z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http://www.zotero.org/styles/biogeosciences</vt:lpwstr>
  </property>
  <property fmtid="{D5CDD505-2E9C-101B-9397-08002B2CF9AE}" pid="5" name="Mendeley Recent Style Name 1_1">
    <vt:lpwstr>Biogeosciences</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16th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http://www.zotero.org/styles/limnology-and-oceanography</vt:lpwstr>
  </property>
  <property fmtid="{D5CDD505-2E9C-101B-9397-08002B2CF9AE}" pid="13" name="Mendeley Recent Style Name 5_1">
    <vt:lpwstr>Limnology and Oceanography</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http://www.zotero.org/styles/nature-communications</vt:lpwstr>
  </property>
  <property fmtid="{D5CDD505-2E9C-101B-9397-08002B2CF9AE}" pid="21" name="Mendeley Recent Style Name 9_1">
    <vt:lpwstr>Nature Communications</vt:lpwstr>
  </property>
  <property fmtid="{D5CDD505-2E9C-101B-9397-08002B2CF9AE}" pid="22" name="Mendeley Document_1">
    <vt:lpwstr>True</vt:lpwstr>
  </property>
  <property fmtid="{D5CDD505-2E9C-101B-9397-08002B2CF9AE}" pid="23" name="Mendeley Unique User Id_1">
    <vt:lpwstr>927da713-d04b-3126-a18a-05a1a996b6d9</vt:lpwstr>
  </property>
  <property fmtid="{D5CDD505-2E9C-101B-9397-08002B2CF9AE}" pid="24" name="Mendeley Citation Style_1">
    <vt:lpwstr>http://www.zotero.org/styles/limnology-and-oceanography</vt:lpwstr>
  </property>
</Properties>
</file>